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0F2" w:rsidRPr="009C7EED" w:rsidRDefault="001A50F2" w:rsidP="00013A8B">
      <w:pPr>
        <w:pStyle w:val="Standard"/>
        <w:spacing w:line="276" w:lineRule="auto"/>
        <w:rPr>
          <w:rFonts w:eastAsia="Times New Roman"/>
          <w:noProof/>
        </w:rPr>
      </w:pPr>
      <w:r w:rsidRPr="009C7EED">
        <w:rPr>
          <w:noProof/>
        </w:rPr>
        <w:t>НАСТАВНО-НАУЧНОМ ВЕЋУ</w:t>
      </w:r>
    </w:p>
    <w:p w:rsidR="001A50F2" w:rsidRPr="009C7EED" w:rsidRDefault="001A50F2" w:rsidP="00013A8B">
      <w:pPr>
        <w:pStyle w:val="Standard"/>
        <w:spacing w:line="276" w:lineRule="auto"/>
        <w:rPr>
          <w:rFonts w:eastAsia="Times New Roman"/>
          <w:noProof/>
        </w:rPr>
      </w:pPr>
      <w:r w:rsidRPr="009C7EED">
        <w:rPr>
          <w:noProof/>
        </w:rPr>
        <w:t>ФИЛОЗОФСКОГ ФАКУЛТЕТА</w:t>
      </w:r>
    </w:p>
    <w:p w:rsidR="001A50F2" w:rsidRPr="009C7EED" w:rsidRDefault="001A50F2" w:rsidP="00013A8B">
      <w:pPr>
        <w:pStyle w:val="Standard"/>
        <w:spacing w:line="276" w:lineRule="auto"/>
        <w:rPr>
          <w:rFonts w:eastAsia="Times New Roman"/>
          <w:noProof/>
        </w:rPr>
      </w:pPr>
      <w:r w:rsidRPr="009C7EED">
        <w:rPr>
          <w:noProof/>
        </w:rPr>
        <w:t>УНИВЕРЗИТЕТА У БЕОГРАДУ</w:t>
      </w:r>
    </w:p>
    <w:p w:rsidR="001A50F2" w:rsidRPr="009C7EED" w:rsidRDefault="001A50F2" w:rsidP="00013A8B">
      <w:pPr>
        <w:pStyle w:val="Standard"/>
        <w:spacing w:line="276" w:lineRule="auto"/>
        <w:rPr>
          <w:rFonts w:eastAsia="Times New Roman"/>
          <w:noProof/>
        </w:rPr>
      </w:pPr>
    </w:p>
    <w:p w:rsidR="001A50F2" w:rsidRPr="009C7EED" w:rsidRDefault="001A50F2" w:rsidP="00013A8B">
      <w:pPr>
        <w:pStyle w:val="Standard"/>
        <w:spacing w:line="276" w:lineRule="auto"/>
        <w:jc w:val="both"/>
        <w:rPr>
          <w:noProof/>
        </w:rPr>
      </w:pPr>
      <w:r w:rsidRPr="009C7EED">
        <w:rPr>
          <w:noProof/>
        </w:rPr>
        <w:t xml:space="preserve">Одлуком Наставно-научног већа </w:t>
      </w:r>
      <w:r>
        <w:rPr>
          <w:noProof/>
        </w:rPr>
        <w:t>Филозофског факултета од дана 19</w:t>
      </w:r>
      <w:r w:rsidRPr="009C7EED">
        <w:rPr>
          <w:noProof/>
        </w:rPr>
        <w:t>.09.2024. године изабрани смо за чланове стручне комисије за оцену испуњености услова за избор др Милоша Панајотова у научно звање НАУЧНИ САРАДНИК. На основу увида у поднету документацију и научни рад кандидата, подносимо Наставно-научном већу следећи</w:t>
      </w:r>
    </w:p>
    <w:p w:rsidR="001A50F2" w:rsidRPr="009C7EED" w:rsidRDefault="001A50F2" w:rsidP="00013A8B">
      <w:pPr>
        <w:pStyle w:val="Standard"/>
        <w:spacing w:line="276" w:lineRule="auto"/>
        <w:jc w:val="both"/>
        <w:rPr>
          <w:rFonts w:eastAsia="Times New Roman"/>
          <w:noProof/>
        </w:rPr>
      </w:pPr>
    </w:p>
    <w:p w:rsidR="001A50F2" w:rsidRPr="009C7EED" w:rsidRDefault="001A50F2" w:rsidP="00013A8B">
      <w:pPr>
        <w:pStyle w:val="Standard"/>
        <w:spacing w:line="276" w:lineRule="auto"/>
        <w:jc w:val="both"/>
        <w:rPr>
          <w:rFonts w:eastAsia="Times New Roman"/>
          <w:noProof/>
        </w:rPr>
      </w:pPr>
    </w:p>
    <w:p w:rsidR="001A50F2" w:rsidRPr="009C7EED" w:rsidRDefault="001A50F2" w:rsidP="00013A8B">
      <w:pPr>
        <w:pStyle w:val="Standard"/>
        <w:spacing w:line="276" w:lineRule="auto"/>
        <w:jc w:val="center"/>
        <w:rPr>
          <w:b/>
          <w:bCs/>
          <w:noProof/>
        </w:rPr>
      </w:pPr>
      <w:r w:rsidRPr="009C7EED">
        <w:rPr>
          <w:b/>
          <w:bCs/>
          <w:noProof/>
        </w:rPr>
        <w:t>И З В Е Ш Т А Ј</w:t>
      </w:r>
    </w:p>
    <w:p w:rsidR="001A50F2" w:rsidRPr="009C7EED" w:rsidRDefault="001A50F2" w:rsidP="00013A8B">
      <w:pPr>
        <w:pStyle w:val="Standard"/>
        <w:spacing w:line="276" w:lineRule="auto"/>
        <w:jc w:val="center"/>
        <w:rPr>
          <w:rFonts w:eastAsia="Times New Roman"/>
          <w:b/>
          <w:bCs/>
          <w:noProof/>
        </w:rPr>
      </w:pPr>
    </w:p>
    <w:p w:rsidR="001A50F2" w:rsidRPr="009C7EED" w:rsidRDefault="001A50F2" w:rsidP="00013A8B">
      <w:pPr>
        <w:pStyle w:val="Standard"/>
        <w:spacing w:line="276" w:lineRule="auto"/>
        <w:jc w:val="center"/>
        <w:rPr>
          <w:rFonts w:eastAsia="Times New Roman"/>
          <w:noProof/>
        </w:rPr>
      </w:pPr>
    </w:p>
    <w:p w:rsidR="001A50F2" w:rsidRPr="009C7EED" w:rsidRDefault="001A50F2" w:rsidP="00013A8B">
      <w:pPr>
        <w:pStyle w:val="Standard"/>
        <w:spacing w:line="276" w:lineRule="auto"/>
        <w:jc w:val="both"/>
        <w:rPr>
          <w:rFonts w:eastAsia="Times New Roman"/>
          <w:b/>
          <w:bCs/>
          <w:noProof/>
        </w:rPr>
      </w:pPr>
      <w:r w:rsidRPr="009C7EED">
        <w:rPr>
          <w:b/>
          <w:bCs/>
          <w:noProof/>
        </w:rPr>
        <w:t>Општи подаци о кандидату</w:t>
      </w:r>
    </w:p>
    <w:p w:rsidR="001A50F2" w:rsidRPr="009C7EED" w:rsidRDefault="001A50F2">
      <w:pPr>
        <w:rPr>
          <w:noProof/>
        </w:rPr>
      </w:pPr>
    </w:p>
    <w:p w:rsidR="001A50F2" w:rsidRPr="009C7EED" w:rsidRDefault="001A50F2" w:rsidP="00E32F3E">
      <w:pPr>
        <w:jc w:val="both"/>
        <w:rPr>
          <w:rFonts w:ascii="Times New Roman" w:hAnsi="Times New Roman" w:cs="Times New Roman"/>
          <w:noProof/>
          <w:sz w:val="24"/>
          <w:szCs w:val="24"/>
        </w:rPr>
      </w:pPr>
      <w:r w:rsidRPr="009C7EED">
        <w:rPr>
          <w:rFonts w:ascii="Times New Roman" w:hAnsi="Times New Roman" w:cs="Times New Roman"/>
          <w:noProof/>
          <w:sz w:val="24"/>
          <w:szCs w:val="24"/>
        </w:rPr>
        <w:t xml:space="preserve">Др Милош Панајотов је рођен 1989. године у Београду, где је завршио основну школу и гимназију. Основне студије филозофије уписао је 2008. године на Филозофском факултету у Београду, а завршио их је 2012. године с просечном оценом 8,85, одбранивши завршни рад </w:t>
      </w:r>
      <w:r>
        <w:rPr>
          <w:rFonts w:ascii="Times New Roman" w:hAnsi="Times New Roman" w:cs="Times New Roman"/>
          <w:noProof/>
          <w:sz w:val="24"/>
          <w:szCs w:val="24"/>
        </w:rPr>
        <w:t>с</w:t>
      </w:r>
      <w:r w:rsidRPr="009C7EED">
        <w:rPr>
          <w:rFonts w:ascii="Times New Roman" w:hAnsi="Times New Roman" w:cs="Times New Roman"/>
          <w:noProof/>
          <w:sz w:val="24"/>
          <w:szCs w:val="24"/>
        </w:rPr>
        <w:t xml:space="preserve"> називом „Кантово схватање простора и времена” под менторством доц. др Ивана Вуковића. У току основних студија био је стипендиста Министарства просвете републике Србије. По завршетку основних студија 2012. године </w:t>
      </w:r>
      <w:r>
        <w:rPr>
          <w:rFonts w:ascii="Times New Roman" w:hAnsi="Times New Roman" w:cs="Times New Roman"/>
          <w:noProof/>
          <w:sz w:val="24"/>
          <w:szCs w:val="24"/>
        </w:rPr>
        <w:t>уписао је</w:t>
      </w:r>
      <w:r w:rsidRPr="009C7EED">
        <w:rPr>
          <w:rFonts w:ascii="Times New Roman" w:hAnsi="Times New Roman" w:cs="Times New Roman"/>
          <w:noProof/>
          <w:sz w:val="24"/>
          <w:szCs w:val="24"/>
        </w:rPr>
        <w:t xml:space="preserve"> мастер студије филозофије на Филозофском факултету у Београду које </w:t>
      </w:r>
      <w:r>
        <w:rPr>
          <w:rFonts w:ascii="Times New Roman" w:hAnsi="Times New Roman" w:cs="Times New Roman"/>
          <w:noProof/>
          <w:sz w:val="24"/>
          <w:szCs w:val="24"/>
        </w:rPr>
        <w:t>је завршио</w:t>
      </w:r>
      <w:r w:rsidRPr="009C7EED">
        <w:rPr>
          <w:rFonts w:ascii="Times New Roman" w:hAnsi="Times New Roman" w:cs="Times New Roman"/>
          <w:noProof/>
          <w:sz w:val="24"/>
          <w:szCs w:val="24"/>
        </w:rPr>
        <w:t xml:space="preserve"> 2014. године с просечном оценом 10, одбранивши с највишом оценом рад </w:t>
      </w:r>
      <w:r>
        <w:rPr>
          <w:rFonts w:ascii="Times New Roman" w:hAnsi="Times New Roman" w:cs="Times New Roman"/>
          <w:noProof/>
          <w:sz w:val="24"/>
          <w:szCs w:val="24"/>
        </w:rPr>
        <w:t xml:space="preserve">с насловом </w:t>
      </w:r>
      <w:r w:rsidRPr="009C7EED">
        <w:rPr>
          <w:rFonts w:ascii="Times New Roman" w:hAnsi="Times New Roman" w:cs="Times New Roman"/>
          <w:noProof/>
          <w:sz w:val="24"/>
          <w:szCs w:val="24"/>
        </w:rPr>
        <w:t xml:space="preserve">„Чалмерсова метаонтологија” под менторством доц. др Андреја Јандрића. </w:t>
      </w:r>
      <w:r>
        <w:rPr>
          <w:rFonts w:ascii="Times New Roman" w:hAnsi="Times New Roman" w:cs="Times New Roman"/>
          <w:noProof/>
          <w:sz w:val="24"/>
          <w:szCs w:val="24"/>
        </w:rPr>
        <w:t>Исте</w:t>
      </w:r>
      <w:r w:rsidRPr="009C7EED">
        <w:rPr>
          <w:rFonts w:ascii="Times New Roman" w:hAnsi="Times New Roman" w:cs="Times New Roman"/>
          <w:noProof/>
          <w:sz w:val="24"/>
          <w:szCs w:val="24"/>
        </w:rPr>
        <w:t xml:space="preserve"> године </w:t>
      </w:r>
      <w:r>
        <w:rPr>
          <w:rFonts w:ascii="Times New Roman" w:hAnsi="Times New Roman" w:cs="Times New Roman"/>
          <w:noProof/>
          <w:sz w:val="24"/>
          <w:szCs w:val="24"/>
        </w:rPr>
        <w:t>уписао је</w:t>
      </w:r>
      <w:r w:rsidRPr="009C7EED">
        <w:rPr>
          <w:rFonts w:ascii="Times New Roman" w:hAnsi="Times New Roman" w:cs="Times New Roman"/>
          <w:noProof/>
          <w:sz w:val="24"/>
          <w:szCs w:val="24"/>
        </w:rPr>
        <w:t xml:space="preserve"> докторске студије на којима је положио све испите с просечном оценом 9,67 и које </w:t>
      </w:r>
      <w:r>
        <w:rPr>
          <w:rFonts w:ascii="Times New Roman" w:hAnsi="Times New Roman" w:cs="Times New Roman"/>
          <w:noProof/>
          <w:sz w:val="24"/>
          <w:szCs w:val="24"/>
        </w:rPr>
        <w:t>је завршио</w:t>
      </w:r>
      <w:r w:rsidRPr="009C7EED">
        <w:rPr>
          <w:rFonts w:ascii="Times New Roman" w:hAnsi="Times New Roman" w:cs="Times New Roman"/>
          <w:noProof/>
          <w:sz w:val="24"/>
          <w:szCs w:val="24"/>
        </w:rPr>
        <w:t xml:space="preserve"> 2024. године. Докторску д</w:t>
      </w:r>
      <w:r>
        <w:rPr>
          <w:rFonts w:ascii="Times New Roman" w:hAnsi="Times New Roman" w:cs="Times New Roman"/>
          <w:noProof/>
          <w:sz w:val="24"/>
          <w:szCs w:val="24"/>
        </w:rPr>
        <w:t>и</w:t>
      </w:r>
      <w:r w:rsidRPr="009C7EED">
        <w:rPr>
          <w:rFonts w:ascii="Times New Roman" w:hAnsi="Times New Roman" w:cs="Times New Roman"/>
          <w:noProof/>
          <w:sz w:val="24"/>
          <w:szCs w:val="24"/>
        </w:rPr>
        <w:t xml:space="preserve">сертацију под насловом „Појам утемељивања у савременој метафизици“ одбранио је пред комисијом у саставу: доц. др Андреј Јандрић (Филозофски факултет у Београду, ментор), проф. др Миљана Милојевић (Филозофски факултет у Београду), доц. др Радмила Јовановић Козловски (Филозофски факултет у Београду) и доц. др Инес Скелац (Факултет филозофије и религијских знаности Свеучилишта у Загребу). Примарне области његових истраживања </w:t>
      </w:r>
      <w:r>
        <w:rPr>
          <w:rFonts w:ascii="Times New Roman" w:hAnsi="Times New Roman" w:cs="Times New Roman"/>
          <w:noProof/>
          <w:sz w:val="24"/>
          <w:szCs w:val="24"/>
        </w:rPr>
        <w:t>је</w:t>
      </w:r>
      <w:r w:rsidRPr="009C7EED">
        <w:rPr>
          <w:rFonts w:ascii="Times New Roman" w:hAnsi="Times New Roman" w:cs="Times New Roman"/>
          <w:noProof/>
          <w:sz w:val="24"/>
          <w:szCs w:val="24"/>
        </w:rPr>
        <w:t xml:space="preserve">су савремена метафизика, метаметафизика, историја аналитичке филозофије и метафизика науке. </w:t>
      </w:r>
    </w:p>
    <w:p w:rsidR="001A50F2" w:rsidRPr="009C7EED" w:rsidRDefault="001A50F2" w:rsidP="00E32F3E">
      <w:pPr>
        <w:jc w:val="both"/>
        <w:rPr>
          <w:rFonts w:ascii="Times New Roman" w:hAnsi="Times New Roman" w:cs="Times New Roman"/>
          <w:noProof/>
          <w:sz w:val="24"/>
          <w:szCs w:val="24"/>
        </w:rPr>
      </w:pPr>
      <w:r>
        <w:rPr>
          <w:rFonts w:ascii="Times New Roman" w:hAnsi="Times New Roman" w:cs="Times New Roman"/>
          <w:noProof/>
          <w:sz w:val="24"/>
          <w:szCs w:val="24"/>
        </w:rPr>
        <w:t>Учествовао</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 xml:space="preserve">је на </w:t>
      </w:r>
      <w:r w:rsidRPr="009C7EED">
        <w:rPr>
          <w:rFonts w:ascii="Times New Roman" w:hAnsi="Times New Roman" w:cs="Times New Roman"/>
          <w:noProof/>
          <w:sz w:val="24"/>
          <w:szCs w:val="24"/>
        </w:rPr>
        <w:t xml:space="preserve">међународној конференцији </w:t>
      </w:r>
      <w:r>
        <w:rPr>
          <w:rFonts w:ascii="Times New Roman" w:hAnsi="Times New Roman" w:cs="Times New Roman"/>
          <w:i/>
          <w:iCs/>
          <w:noProof/>
          <w:sz w:val="24"/>
          <w:szCs w:val="24"/>
        </w:rPr>
        <w:t xml:space="preserve">Fourth Belgrade Graduate Conference in Philosophy </w:t>
      </w:r>
      <w:r w:rsidRPr="009C7EED">
        <w:rPr>
          <w:rFonts w:ascii="Times New Roman" w:hAnsi="Times New Roman" w:cs="Times New Roman"/>
          <w:noProof/>
          <w:sz w:val="24"/>
          <w:szCs w:val="24"/>
        </w:rPr>
        <w:t xml:space="preserve">одржаној у Београду од 10. до 12. маја 2019. године. Том приликом је имао излагање </w:t>
      </w:r>
      <w:r>
        <w:rPr>
          <w:rFonts w:ascii="Times New Roman" w:hAnsi="Times New Roman" w:cs="Times New Roman"/>
          <w:noProof/>
          <w:sz w:val="24"/>
          <w:szCs w:val="24"/>
        </w:rPr>
        <w:t>објављено у изводу (</w:t>
      </w:r>
      <w:r w:rsidRPr="009C7EED">
        <w:rPr>
          <w:rFonts w:ascii="Times New Roman" w:hAnsi="Times New Roman" w:cs="Times New Roman"/>
          <w:noProof/>
          <w:sz w:val="24"/>
          <w:szCs w:val="24"/>
        </w:rPr>
        <w:t xml:space="preserve">категорије </w:t>
      </w:r>
      <w:r>
        <w:rPr>
          <w:rFonts w:ascii="Times New Roman" w:hAnsi="Times New Roman" w:cs="Times New Roman"/>
          <w:noProof/>
          <w:sz w:val="24"/>
          <w:szCs w:val="24"/>
        </w:rPr>
        <w:t>М</w:t>
      </w:r>
      <w:r w:rsidRPr="009C7EED">
        <w:rPr>
          <w:rFonts w:ascii="Times New Roman" w:hAnsi="Times New Roman" w:cs="Times New Roman"/>
          <w:noProof/>
          <w:sz w:val="24"/>
          <w:szCs w:val="24"/>
        </w:rPr>
        <w:t>34</w:t>
      </w:r>
      <w:r>
        <w:rPr>
          <w:rFonts w:ascii="Times New Roman" w:hAnsi="Times New Roman" w:cs="Times New Roman"/>
          <w:noProof/>
          <w:sz w:val="24"/>
          <w:szCs w:val="24"/>
        </w:rPr>
        <w:t>)</w:t>
      </w:r>
      <w:r w:rsidRPr="009C7EED">
        <w:rPr>
          <w:rFonts w:ascii="Times New Roman" w:hAnsi="Times New Roman" w:cs="Times New Roman"/>
          <w:noProof/>
          <w:sz w:val="24"/>
          <w:szCs w:val="24"/>
        </w:rPr>
        <w:t xml:space="preserve">. Др Милош Панајотов је аутор три научна рада </w:t>
      </w:r>
      <w:r>
        <w:rPr>
          <w:rFonts w:ascii="Times New Roman" w:hAnsi="Times New Roman" w:cs="Times New Roman"/>
          <w:noProof/>
          <w:sz w:val="24"/>
          <w:szCs w:val="24"/>
        </w:rPr>
        <w:t xml:space="preserve">у националном часопису међунарадоног значаја </w:t>
      </w:r>
      <w:r w:rsidRPr="009C7EED">
        <w:rPr>
          <w:rFonts w:ascii="Times New Roman" w:hAnsi="Times New Roman" w:cs="Times New Roman"/>
          <w:noProof/>
          <w:sz w:val="24"/>
          <w:szCs w:val="24"/>
        </w:rPr>
        <w:t xml:space="preserve">категорије </w:t>
      </w:r>
      <w:r>
        <w:rPr>
          <w:rFonts w:ascii="Times New Roman" w:hAnsi="Times New Roman" w:cs="Times New Roman"/>
          <w:noProof/>
          <w:sz w:val="24"/>
          <w:szCs w:val="24"/>
        </w:rPr>
        <w:t>М</w:t>
      </w:r>
      <w:r w:rsidRPr="009C7EED">
        <w:rPr>
          <w:rFonts w:ascii="Times New Roman" w:hAnsi="Times New Roman" w:cs="Times New Roman"/>
          <w:noProof/>
          <w:sz w:val="24"/>
          <w:szCs w:val="24"/>
        </w:rPr>
        <w:t>24.</w:t>
      </w:r>
    </w:p>
    <w:p w:rsidR="001A50F2" w:rsidRPr="009C7EED" w:rsidRDefault="001A50F2" w:rsidP="00E32F3E">
      <w:pPr>
        <w:jc w:val="both"/>
        <w:rPr>
          <w:rFonts w:ascii="Times New Roman" w:hAnsi="Times New Roman" w:cs="Times New Roman"/>
          <w:noProof/>
          <w:sz w:val="24"/>
          <w:szCs w:val="24"/>
        </w:rPr>
      </w:pPr>
      <w:r w:rsidRPr="009C7EED">
        <w:rPr>
          <w:rFonts w:ascii="Times New Roman" w:hAnsi="Times New Roman" w:cs="Times New Roman"/>
          <w:noProof/>
          <w:sz w:val="24"/>
          <w:szCs w:val="24"/>
        </w:rPr>
        <w:t>Од јуна 2018. године запослен је на Институту за филозофију Филозофског факултета као истраживач приправник, а од априла 2021. године као истраживач сарадник. Током докторских студија био је ангажован на пројекту „Логичко-епистемолошки основи науке и метафизике“ Министарства просвете, науке и технолошког развоја (ев. број 179067). Тренутно је запослен према уговору о финансирању 451-03-47/2023-01/ 200163.</w:t>
      </w:r>
    </w:p>
    <w:p w:rsidR="001A50F2" w:rsidRPr="009C7EED" w:rsidRDefault="001A50F2" w:rsidP="00E32F3E">
      <w:pPr>
        <w:rPr>
          <w:noProof/>
        </w:rPr>
      </w:pPr>
    </w:p>
    <w:p w:rsidR="001A50F2" w:rsidRPr="009C7EED" w:rsidRDefault="001A50F2" w:rsidP="00CC6F9E">
      <w:pPr>
        <w:jc w:val="both"/>
        <w:rPr>
          <w:rFonts w:ascii="Times New Roman" w:hAnsi="Times New Roman" w:cs="Times New Roman"/>
          <w:noProof/>
          <w:sz w:val="24"/>
          <w:szCs w:val="24"/>
        </w:rPr>
      </w:pPr>
      <w:r w:rsidRPr="009C7EED">
        <w:rPr>
          <w:rFonts w:ascii="Times New Roman" w:hAnsi="Times New Roman" w:cs="Times New Roman"/>
          <w:b/>
          <w:bCs/>
          <w:noProof/>
          <w:sz w:val="24"/>
          <w:szCs w:val="24"/>
        </w:rPr>
        <w:t>Научно-истраживачки резултати</w:t>
      </w:r>
    </w:p>
    <w:p w:rsidR="001A50F2" w:rsidRPr="009C7EED" w:rsidRDefault="001A50F2" w:rsidP="00CC6F9E">
      <w:pPr>
        <w:jc w:val="both"/>
        <w:rPr>
          <w:rFonts w:ascii="Times New Roman" w:hAnsi="Times New Roman" w:cs="Times New Roman"/>
          <w:b/>
          <w:bCs/>
          <w:i/>
          <w:iCs/>
          <w:noProof/>
          <w:sz w:val="24"/>
          <w:szCs w:val="24"/>
        </w:rPr>
      </w:pPr>
      <w:r w:rsidRPr="009C7EED">
        <w:rPr>
          <w:rFonts w:ascii="Times New Roman" w:hAnsi="Times New Roman" w:cs="Times New Roman"/>
          <w:b/>
          <w:bCs/>
          <w:i/>
          <w:iCs/>
          <w:noProof/>
          <w:sz w:val="24"/>
          <w:szCs w:val="24"/>
        </w:rPr>
        <w:t>Библиографија са потпуним референцама разврстаним према категоријама научног рада (М коефицијенти)</w:t>
      </w:r>
    </w:p>
    <w:p w:rsidR="001A50F2" w:rsidRPr="009C7EED" w:rsidRDefault="001A50F2" w:rsidP="00CC6F9E">
      <w:pPr>
        <w:pBdr>
          <w:bottom w:val="single" w:sz="6" w:space="1" w:color="808080"/>
        </w:pBdr>
        <w:spacing w:before="400" w:after="0"/>
        <w:jc w:val="both"/>
        <w:rPr>
          <w:rFonts w:ascii="Times New Roman" w:hAnsi="Times New Roman" w:cs="Times New Roman"/>
          <w:smallCaps/>
          <w:noProof/>
        </w:rPr>
      </w:pPr>
      <w:r>
        <w:rPr>
          <w:rFonts w:ascii="Times New Roman" w:hAnsi="Times New Roman" w:cs="Times New Roman"/>
          <w:smallCaps/>
          <w:noProof/>
          <w:sz w:val="24"/>
          <w:szCs w:val="24"/>
        </w:rPr>
        <w:t>М</w:t>
      </w:r>
      <w:r w:rsidRPr="009C7EED">
        <w:rPr>
          <w:rFonts w:ascii="Times New Roman" w:hAnsi="Times New Roman" w:cs="Times New Roman"/>
          <w:smallCaps/>
          <w:noProof/>
          <w:sz w:val="24"/>
          <w:szCs w:val="24"/>
        </w:rPr>
        <w:t>20 (</w:t>
      </w:r>
      <w:r>
        <w:rPr>
          <w:rFonts w:ascii="Times New Roman" w:hAnsi="Times New Roman" w:cs="Times New Roman"/>
          <w:smallCaps/>
          <w:noProof/>
          <w:sz w:val="24"/>
          <w:szCs w:val="24"/>
        </w:rPr>
        <w:t>Радови</w:t>
      </w:r>
      <w:r w:rsidRPr="009C7EED">
        <w:rPr>
          <w:rFonts w:ascii="Times New Roman" w:hAnsi="Times New Roman" w:cs="Times New Roman"/>
          <w:smallCaps/>
          <w:noProof/>
          <w:sz w:val="24"/>
          <w:szCs w:val="24"/>
        </w:rPr>
        <w:t xml:space="preserve"> </w:t>
      </w:r>
      <w:r>
        <w:rPr>
          <w:rFonts w:ascii="Times New Roman" w:hAnsi="Times New Roman" w:cs="Times New Roman"/>
          <w:smallCaps/>
          <w:noProof/>
          <w:sz w:val="24"/>
          <w:szCs w:val="24"/>
        </w:rPr>
        <w:t>објављени</w:t>
      </w:r>
      <w:r w:rsidRPr="009C7EED">
        <w:rPr>
          <w:rFonts w:ascii="Times New Roman" w:hAnsi="Times New Roman" w:cs="Times New Roman"/>
          <w:smallCaps/>
          <w:noProof/>
          <w:sz w:val="24"/>
          <w:szCs w:val="24"/>
        </w:rPr>
        <w:t xml:space="preserve"> </w:t>
      </w:r>
      <w:r>
        <w:rPr>
          <w:rFonts w:ascii="Times New Roman" w:hAnsi="Times New Roman" w:cs="Times New Roman"/>
          <w:smallCaps/>
          <w:noProof/>
          <w:sz w:val="24"/>
          <w:szCs w:val="24"/>
        </w:rPr>
        <w:t>у научним часописима</w:t>
      </w:r>
      <w:r w:rsidRPr="009C7EED">
        <w:rPr>
          <w:rFonts w:ascii="Times New Roman" w:hAnsi="Times New Roman" w:cs="Times New Roman"/>
          <w:smallCaps/>
          <w:noProof/>
          <w:sz w:val="24"/>
          <w:szCs w:val="24"/>
        </w:rPr>
        <w:t xml:space="preserve"> </w:t>
      </w:r>
      <w:r>
        <w:rPr>
          <w:rFonts w:ascii="Times New Roman" w:hAnsi="Times New Roman" w:cs="Times New Roman"/>
          <w:smallCaps/>
          <w:noProof/>
          <w:sz w:val="24"/>
          <w:szCs w:val="24"/>
        </w:rPr>
        <w:t>од међународног значаја</w:t>
      </w:r>
      <w:r w:rsidRPr="009C7EED">
        <w:rPr>
          <w:rFonts w:ascii="Times New Roman" w:hAnsi="Times New Roman" w:cs="Times New Roman"/>
          <w:smallCaps/>
          <w:noProof/>
        </w:rPr>
        <w:t>)</w:t>
      </w:r>
    </w:p>
    <w:p w:rsidR="001A50F2" w:rsidRPr="009C7EED" w:rsidRDefault="001A50F2" w:rsidP="008F5A84">
      <w:pPr>
        <w:tabs>
          <w:tab w:val="left" w:pos="3600"/>
          <w:tab w:val="right" w:pos="8640"/>
        </w:tabs>
        <w:spacing w:before="220" w:after="0"/>
        <w:ind w:left="2075"/>
        <w:jc w:val="both"/>
        <w:rPr>
          <w:rFonts w:ascii="Times New Roman" w:hAnsi="Times New Roman" w:cs="Times New Roman"/>
          <w:noProof/>
          <w:sz w:val="24"/>
          <w:szCs w:val="24"/>
        </w:rPr>
      </w:pPr>
      <w:r w:rsidRPr="00C05A90">
        <w:rPr>
          <w:rFonts w:ascii="Times New Roman" w:hAnsi="Times New Roman" w:cs="Times New Roman"/>
          <w:noProof/>
          <w:sz w:val="24"/>
          <w:szCs w:val="24"/>
        </w:rPr>
        <w:t>М24</w:t>
      </w:r>
      <w:r w:rsidRPr="00C05A90">
        <w:rPr>
          <w:rFonts w:ascii="Times New Roman" w:hAnsi="Times New Roman" w:cs="Times New Roman"/>
          <w:b/>
          <w:bCs/>
          <w:noProof/>
          <w:sz w:val="24"/>
          <w:szCs w:val="24"/>
        </w:rPr>
        <w:t xml:space="preserve"> </w:t>
      </w:r>
      <w:r w:rsidRPr="00C05A90">
        <w:rPr>
          <w:rFonts w:ascii="Times New Roman" w:hAnsi="Times New Roman" w:cs="Times New Roman"/>
          <w:noProof/>
          <w:sz w:val="24"/>
          <w:szCs w:val="24"/>
        </w:rPr>
        <w:t xml:space="preserve">Панајотов, Милош (2024), „Болцанова теорија утемељивања“, </w:t>
      </w:r>
      <w:r w:rsidRPr="00C05A90">
        <w:rPr>
          <w:rFonts w:ascii="Times New Roman" w:hAnsi="Times New Roman" w:cs="Times New Roman"/>
          <w:i/>
          <w:iCs/>
          <w:noProof/>
          <w:sz w:val="24"/>
          <w:szCs w:val="24"/>
        </w:rPr>
        <w:t>Theoria</w:t>
      </w:r>
      <w:r w:rsidRPr="00C05A90">
        <w:rPr>
          <w:rFonts w:ascii="Times New Roman" w:hAnsi="Times New Roman" w:cs="Times New Roman"/>
          <w:noProof/>
          <w:sz w:val="24"/>
          <w:szCs w:val="24"/>
        </w:rPr>
        <w:t xml:space="preserve">, </w:t>
      </w:r>
      <w:r w:rsidRPr="00C05A90">
        <w:rPr>
          <w:rFonts w:ascii="Times New Roman" w:hAnsi="Times New Roman" w:cs="Times New Roman"/>
          <w:i/>
          <w:iCs/>
          <w:noProof/>
          <w:sz w:val="24"/>
          <w:szCs w:val="24"/>
        </w:rPr>
        <w:t>67</w:t>
      </w:r>
      <w:r>
        <w:rPr>
          <w:rFonts w:ascii="Times New Roman" w:hAnsi="Times New Roman" w:cs="Times New Roman"/>
          <w:noProof/>
          <w:sz w:val="24"/>
          <w:szCs w:val="24"/>
        </w:rPr>
        <w:t>(3)</w:t>
      </w:r>
      <w:r w:rsidRPr="00C05A90">
        <w:rPr>
          <w:rFonts w:ascii="Times New Roman" w:hAnsi="Times New Roman" w:cs="Times New Roman"/>
          <w:noProof/>
          <w:sz w:val="24"/>
          <w:szCs w:val="24"/>
        </w:rPr>
        <w:t>,</w:t>
      </w:r>
      <w:r>
        <w:rPr>
          <w:rFonts w:ascii="Times New Roman" w:hAnsi="Times New Roman" w:cs="Times New Roman"/>
          <w:noProof/>
          <w:sz w:val="24"/>
          <w:szCs w:val="24"/>
        </w:rPr>
        <w:t xml:space="preserve"> 5</w:t>
      </w:r>
      <w:r w:rsidRPr="009C7EED">
        <w:rPr>
          <w:rFonts w:ascii="Times New Roman" w:hAnsi="Times New Roman" w:cs="Times New Roman"/>
          <w:noProof/>
          <w:sz w:val="24"/>
          <w:szCs w:val="24"/>
        </w:rPr>
        <w:t>–</w:t>
      </w:r>
      <w:r>
        <w:rPr>
          <w:rFonts w:ascii="Times New Roman" w:hAnsi="Times New Roman" w:cs="Times New Roman"/>
          <w:noProof/>
          <w:sz w:val="24"/>
          <w:szCs w:val="24"/>
        </w:rPr>
        <w:t>16,</w:t>
      </w:r>
      <w:r w:rsidRPr="00C05A90">
        <w:rPr>
          <w:rFonts w:ascii="Times New Roman" w:hAnsi="Times New Roman" w:cs="Times New Roman"/>
          <w:noProof/>
          <w:sz w:val="24"/>
          <w:szCs w:val="24"/>
        </w:rPr>
        <w:t xml:space="preserve"> број страна: </w:t>
      </w:r>
      <w:r>
        <w:rPr>
          <w:rFonts w:ascii="Times New Roman" w:hAnsi="Times New Roman" w:cs="Times New Roman"/>
          <w:noProof/>
          <w:sz w:val="24"/>
          <w:szCs w:val="24"/>
        </w:rPr>
        <w:t>12</w:t>
      </w:r>
      <w:r w:rsidRPr="00C05A90">
        <w:rPr>
          <w:rFonts w:ascii="Times New Roman" w:hAnsi="Times New Roman" w:cs="Times New Roman"/>
          <w:noProof/>
          <w:sz w:val="24"/>
          <w:szCs w:val="24"/>
        </w:rPr>
        <w:t xml:space="preserve">, </w:t>
      </w:r>
      <w:r>
        <w:rPr>
          <w:rFonts w:ascii="Times New Roman" w:hAnsi="Times New Roman" w:cs="Times New Roman"/>
          <w:noProof/>
          <w:sz w:val="24"/>
          <w:szCs w:val="24"/>
        </w:rPr>
        <w:t>DOI</w:t>
      </w:r>
      <w:r w:rsidRPr="00047C5A">
        <w:rPr>
          <w:rFonts w:ascii="Times New Roman" w:hAnsi="Times New Roman" w:cs="Times New Roman"/>
          <w:noProof/>
          <w:sz w:val="24"/>
          <w:szCs w:val="24"/>
        </w:rPr>
        <w:t xml:space="preserve">: </w:t>
      </w:r>
      <w:r w:rsidRPr="00047C5A">
        <w:rPr>
          <w:rFonts w:ascii="Times New Roman" w:hAnsi="Times New Roman" w:cs="Times New Roman"/>
          <w:sz w:val="24"/>
          <w:szCs w:val="24"/>
        </w:rPr>
        <w:t>10.2298/THEO2403005P</w:t>
      </w:r>
      <w:r w:rsidRPr="00C05A90">
        <w:rPr>
          <w:rFonts w:ascii="Times New Roman" w:hAnsi="Times New Roman" w:cs="Times New Roman"/>
          <w:noProof/>
          <w:sz w:val="24"/>
          <w:szCs w:val="24"/>
        </w:rPr>
        <w:t>, број хетероцитата: 0;</w:t>
      </w:r>
    </w:p>
    <w:p w:rsidR="001A50F2" w:rsidRPr="009C7EED" w:rsidRDefault="001A50F2" w:rsidP="008F5A84">
      <w:pPr>
        <w:tabs>
          <w:tab w:val="left" w:pos="3600"/>
          <w:tab w:val="right" w:pos="8640"/>
        </w:tabs>
        <w:spacing w:before="220" w:after="0"/>
        <w:ind w:left="2075"/>
        <w:jc w:val="both"/>
        <w:rPr>
          <w:rFonts w:ascii="Times New Roman" w:hAnsi="Times New Roman" w:cs="Times New Roman"/>
          <w:noProof/>
          <w:sz w:val="24"/>
          <w:szCs w:val="24"/>
        </w:rPr>
      </w:pPr>
      <w:bookmarkStart w:id="0" w:name="_heading_h_gjdgxs" w:colFirst="0" w:colLast="0"/>
      <w:bookmarkEnd w:id="0"/>
      <w:r>
        <w:rPr>
          <w:rFonts w:ascii="Times New Roman" w:hAnsi="Times New Roman" w:cs="Times New Roman"/>
          <w:noProof/>
          <w:sz w:val="24"/>
          <w:szCs w:val="24"/>
        </w:rPr>
        <w:t>М</w:t>
      </w:r>
      <w:r w:rsidRPr="006C24F1">
        <w:rPr>
          <w:rFonts w:ascii="Times New Roman" w:hAnsi="Times New Roman" w:cs="Times New Roman"/>
          <w:noProof/>
          <w:sz w:val="24"/>
          <w:szCs w:val="24"/>
        </w:rPr>
        <w:t>24</w:t>
      </w:r>
      <w:r w:rsidRPr="009C7EED">
        <w:rPr>
          <w:rFonts w:ascii="Times New Roman" w:hAnsi="Times New Roman" w:cs="Times New Roman"/>
          <w:b/>
          <w:bCs/>
          <w:noProof/>
          <w:sz w:val="24"/>
          <w:szCs w:val="24"/>
        </w:rPr>
        <w:t xml:space="preserve"> </w:t>
      </w:r>
      <w:r>
        <w:rPr>
          <w:rFonts w:ascii="Times New Roman" w:hAnsi="Times New Roman" w:cs="Times New Roman"/>
          <w:noProof/>
          <w:sz w:val="24"/>
          <w:szCs w:val="24"/>
        </w:rPr>
        <w:t>Панајотов</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Милош</w:t>
      </w:r>
      <w:r w:rsidRPr="009C7EED">
        <w:rPr>
          <w:rFonts w:ascii="Times New Roman" w:hAnsi="Times New Roman" w:cs="Times New Roman"/>
          <w:noProof/>
          <w:sz w:val="24"/>
          <w:szCs w:val="24"/>
        </w:rPr>
        <w:t xml:space="preserve"> (2022), „</w:t>
      </w:r>
      <w:r>
        <w:rPr>
          <w:rFonts w:ascii="Times New Roman" w:hAnsi="Times New Roman" w:cs="Times New Roman"/>
          <w:noProof/>
          <w:sz w:val="24"/>
          <w:szCs w:val="24"/>
        </w:rPr>
        <w:t>Три теорије јединства утемељивања</w:t>
      </w:r>
      <w:r w:rsidRPr="009C7EED">
        <w:rPr>
          <w:rFonts w:ascii="Times New Roman" w:hAnsi="Times New Roman" w:cs="Times New Roman"/>
          <w:noProof/>
          <w:sz w:val="24"/>
          <w:szCs w:val="24"/>
        </w:rPr>
        <w:t xml:space="preserve">“, </w:t>
      </w:r>
      <w:r>
        <w:rPr>
          <w:rFonts w:ascii="Times New Roman" w:hAnsi="Times New Roman" w:cs="Times New Roman"/>
          <w:i/>
          <w:iCs/>
          <w:noProof/>
          <w:sz w:val="24"/>
          <w:szCs w:val="24"/>
        </w:rPr>
        <w:t>Theoria</w:t>
      </w:r>
      <w:r w:rsidRPr="009C7EED">
        <w:rPr>
          <w:rFonts w:ascii="Times New Roman" w:hAnsi="Times New Roman" w:cs="Times New Roman"/>
          <w:noProof/>
          <w:sz w:val="24"/>
          <w:szCs w:val="24"/>
        </w:rPr>
        <w:t xml:space="preserve">, </w:t>
      </w:r>
      <w:r w:rsidRPr="009C7EED">
        <w:rPr>
          <w:rFonts w:ascii="Times New Roman" w:hAnsi="Times New Roman" w:cs="Times New Roman"/>
          <w:i/>
          <w:iCs/>
          <w:noProof/>
          <w:sz w:val="24"/>
          <w:szCs w:val="24"/>
        </w:rPr>
        <w:t>65</w:t>
      </w:r>
      <w:r w:rsidRPr="009C7EED">
        <w:rPr>
          <w:rFonts w:ascii="Times New Roman" w:hAnsi="Times New Roman" w:cs="Times New Roman"/>
          <w:noProof/>
          <w:sz w:val="24"/>
          <w:szCs w:val="24"/>
        </w:rPr>
        <w:t xml:space="preserve">(3), 65–81, </w:t>
      </w:r>
      <w:r>
        <w:rPr>
          <w:rFonts w:ascii="Times New Roman" w:hAnsi="Times New Roman" w:cs="Times New Roman"/>
          <w:noProof/>
          <w:sz w:val="24"/>
          <w:szCs w:val="24"/>
        </w:rPr>
        <w:t>број страна</w:t>
      </w:r>
      <w:r w:rsidRPr="009C7EED">
        <w:rPr>
          <w:rFonts w:ascii="Times New Roman" w:hAnsi="Times New Roman" w:cs="Times New Roman"/>
          <w:noProof/>
          <w:sz w:val="24"/>
          <w:szCs w:val="24"/>
        </w:rPr>
        <w:t xml:space="preserve">: 17, </w:t>
      </w:r>
      <w:r>
        <w:rPr>
          <w:rFonts w:ascii="Times New Roman" w:hAnsi="Times New Roman" w:cs="Times New Roman"/>
          <w:noProof/>
          <w:sz w:val="24"/>
          <w:szCs w:val="24"/>
        </w:rPr>
        <w:t>DOI</w:t>
      </w:r>
      <w:r w:rsidRPr="009C7EED">
        <w:rPr>
          <w:rFonts w:ascii="Times New Roman" w:hAnsi="Times New Roman" w:cs="Times New Roman"/>
          <w:noProof/>
          <w:sz w:val="24"/>
          <w:szCs w:val="24"/>
        </w:rPr>
        <w:t xml:space="preserve">: </w:t>
      </w:r>
      <w:r w:rsidRPr="009C7EED">
        <w:rPr>
          <w:rFonts w:ascii="Times New Roman" w:eastAsia="TimesNewRomanPSMT" w:hAnsi="Times New Roman" w:cs="Times New Roman"/>
          <w:noProof/>
          <w:sz w:val="24"/>
          <w:szCs w:val="24"/>
        </w:rPr>
        <w:t>10.2298/</w:t>
      </w:r>
      <w:r>
        <w:rPr>
          <w:rFonts w:ascii="Times New Roman" w:eastAsia="TimesNewRomanPSMT" w:hAnsi="Times New Roman" w:cs="Times New Roman"/>
          <w:noProof/>
          <w:sz w:val="24"/>
          <w:szCs w:val="24"/>
        </w:rPr>
        <w:t>THEO</w:t>
      </w:r>
      <w:r w:rsidRPr="009C7EED">
        <w:rPr>
          <w:rFonts w:ascii="Times New Roman" w:eastAsia="TimesNewRomanPSMT" w:hAnsi="Times New Roman" w:cs="Times New Roman"/>
          <w:noProof/>
          <w:sz w:val="24"/>
          <w:szCs w:val="24"/>
        </w:rPr>
        <w:t>2203065</w:t>
      </w:r>
      <w:r>
        <w:rPr>
          <w:rFonts w:ascii="Times New Roman" w:eastAsia="TimesNewRomanPSMT" w:hAnsi="Times New Roman" w:cs="Times New Roman"/>
          <w:noProof/>
          <w:sz w:val="24"/>
          <w:szCs w:val="24"/>
        </w:rPr>
        <w:t>P</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број хетероцитата</w:t>
      </w:r>
      <w:r w:rsidRPr="009C7EED">
        <w:rPr>
          <w:rFonts w:ascii="Times New Roman" w:hAnsi="Times New Roman" w:cs="Times New Roman"/>
          <w:noProof/>
          <w:sz w:val="24"/>
          <w:szCs w:val="24"/>
        </w:rPr>
        <w:t>: 0;</w:t>
      </w:r>
    </w:p>
    <w:p w:rsidR="001A50F2" w:rsidRPr="009C7EED" w:rsidRDefault="001A50F2" w:rsidP="008F5A84">
      <w:pPr>
        <w:tabs>
          <w:tab w:val="left" w:pos="3600"/>
          <w:tab w:val="right" w:pos="8640"/>
        </w:tabs>
        <w:spacing w:before="220" w:after="0"/>
        <w:ind w:left="2075"/>
        <w:jc w:val="both"/>
        <w:rPr>
          <w:rFonts w:ascii="Times New Roman" w:hAnsi="Times New Roman" w:cs="Times New Roman"/>
          <w:noProof/>
          <w:sz w:val="24"/>
          <w:szCs w:val="24"/>
        </w:rPr>
      </w:pPr>
      <w:r>
        <w:rPr>
          <w:rFonts w:ascii="Times New Roman" w:hAnsi="Times New Roman" w:cs="Times New Roman"/>
          <w:noProof/>
          <w:sz w:val="24"/>
          <w:szCs w:val="24"/>
        </w:rPr>
        <w:t>М</w:t>
      </w:r>
      <w:r w:rsidRPr="006C24F1">
        <w:rPr>
          <w:rFonts w:ascii="Times New Roman" w:hAnsi="Times New Roman" w:cs="Times New Roman"/>
          <w:noProof/>
          <w:sz w:val="24"/>
          <w:szCs w:val="24"/>
        </w:rPr>
        <w:t>24</w:t>
      </w:r>
      <w:r w:rsidRPr="009C7EED">
        <w:rPr>
          <w:rFonts w:ascii="Times New Roman" w:hAnsi="Times New Roman" w:cs="Times New Roman"/>
          <w:b/>
          <w:bCs/>
          <w:noProof/>
          <w:sz w:val="24"/>
          <w:szCs w:val="24"/>
        </w:rPr>
        <w:t xml:space="preserve"> </w:t>
      </w:r>
      <w:r>
        <w:rPr>
          <w:rFonts w:ascii="Times New Roman" w:hAnsi="Times New Roman" w:cs="Times New Roman"/>
          <w:noProof/>
          <w:sz w:val="24"/>
          <w:szCs w:val="24"/>
        </w:rPr>
        <w:t>Панајотов</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Милош</w:t>
      </w:r>
      <w:r w:rsidRPr="009C7EED">
        <w:rPr>
          <w:rFonts w:ascii="Times New Roman" w:hAnsi="Times New Roman" w:cs="Times New Roman"/>
          <w:noProof/>
          <w:sz w:val="24"/>
          <w:szCs w:val="24"/>
        </w:rPr>
        <w:t xml:space="preserve"> (2021), „</w:t>
      </w:r>
      <w:r>
        <w:rPr>
          <w:rFonts w:ascii="Times New Roman" w:hAnsi="Times New Roman" w:cs="Times New Roman"/>
          <w:noProof/>
          <w:sz w:val="24"/>
          <w:szCs w:val="24"/>
        </w:rPr>
        <w:t>Дејлијева критика разумљивости појма утемељивања</w:t>
      </w:r>
      <w:r w:rsidRPr="009C7EED">
        <w:rPr>
          <w:rFonts w:ascii="Times New Roman" w:hAnsi="Times New Roman" w:cs="Times New Roman"/>
          <w:noProof/>
          <w:sz w:val="24"/>
          <w:szCs w:val="24"/>
        </w:rPr>
        <w:t xml:space="preserve">“, </w:t>
      </w:r>
      <w:r>
        <w:rPr>
          <w:rFonts w:ascii="Times New Roman" w:hAnsi="Times New Roman" w:cs="Times New Roman"/>
          <w:i/>
          <w:iCs/>
          <w:noProof/>
          <w:sz w:val="24"/>
          <w:szCs w:val="24"/>
        </w:rPr>
        <w:t>Theoria</w:t>
      </w:r>
      <w:r w:rsidRPr="009C7EED">
        <w:rPr>
          <w:rFonts w:ascii="Times New Roman" w:hAnsi="Times New Roman" w:cs="Times New Roman"/>
          <w:noProof/>
          <w:sz w:val="24"/>
          <w:szCs w:val="24"/>
        </w:rPr>
        <w:t xml:space="preserve">, </w:t>
      </w:r>
      <w:r w:rsidRPr="009C7EED">
        <w:rPr>
          <w:rFonts w:ascii="Times New Roman" w:hAnsi="Times New Roman" w:cs="Times New Roman"/>
          <w:i/>
          <w:iCs/>
          <w:noProof/>
          <w:sz w:val="24"/>
          <w:szCs w:val="24"/>
        </w:rPr>
        <w:t>64</w:t>
      </w:r>
      <w:r w:rsidRPr="009C7EED">
        <w:rPr>
          <w:rFonts w:ascii="Times New Roman" w:hAnsi="Times New Roman" w:cs="Times New Roman"/>
          <w:noProof/>
          <w:sz w:val="24"/>
          <w:szCs w:val="24"/>
        </w:rPr>
        <w:t xml:space="preserve">(1), 129–147, </w:t>
      </w:r>
      <w:r>
        <w:rPr>
          <w:rFonts w:ascii="Times New Roman" w:hAnsi="Times New Roman" w:cs="Times New Roman"/>
          <w:noProof/>
          <w:sz w:val="24"/>
          <w:szCs w:val="24"/>
        </w:rPr>
        <w:t>број страна</w:t>
      </w:r>
      <w:r w:rsidRPr="009C7EED">
        <w:rPr>
          <w:rFonts w:ascii="Times New Roman" w:hAnsi="Times New Roman" w:cs="Times New Roman"/>
          <w:noProof/>
          <w:sz w:val="24"/>
          <w:szCs w:val="24"/>
        </w:rPr>
        <w:t xml:space="preserve">: 19, </w:t>
      </w:r>
      <w:r>
        <w:rPr>
          <w:rFonts w:ascii="Times New Roman" w:hAnsi="Times New Roman" w:cs="Times New Roman"/>
          <w:noProof/>
          <w:sz w:val="24"/>
          <w:szCs w:val="24"/>
        </w:rPr>
        <w:t>DOI</w:t>
      </w:r>
      <w:r w:rsidRPr="009C7EED">
        <w:rPr>
          <w:rFonts w:ascii="Times New Roman" w:hAnsi="Times New Roman" w:cs="Times New Roman"/>
          <w:noProof/>
          <w:sz w:val="24"/>
          <w:szCs w:val="24"/>
        </w:rPr>
        <w:t xml:space="preserve">: </w:t>
      </w:r>
      <w:r w:rsidRPr="009C7EED">
        <w:rPr>
          <w:rFonts w:ascii="Times New Roman" w:eastAsia="TimesNewRomanPSMT" w:hAnsi="Times New Roman" w:cs="Times New Roman"/>
          <w:noProof/>
          <w:sz w:val="24"/>
          <w:szCs w:val="24"/>
        </w:rPr>
        <w:t>10.2298/</w:t>
      </w:r>
      <w:r>
        <w:rPr>
          <w:rFonts w:ascii="Times New Roman" w:eastAsia="TimesNewRomanPSMT" w:hAnsi="Times New Roman" w:cs="Times New Roman"/>
          <w:noProof/>
          <w:sz w:val="24"/>
          <w:szCs w:val="24"/>
        </w:rPr>
        <w:t>THEO</w:t>
      </w:r>
      <w:r w:rsidRPr="009C7EED">
        <w:rPr>
          <w:rFonts w:ascii="Times New Roman" w:eastAsia="TimesNewRomanPSMT" w:hAnsi="Times New Roman" w:cs="Times New Roman"/>
          <w:noProof/>
          <w:sz w:val="24"/>
          <w:szCs w:val="24"/>
        </w:rPr>
        <w:t>2101129</w:t>
      </w:r>
      <w:r>
        <w:rPr>
          <w:rFonts w:ascii="Times New Roman" w:eastAsia="TimesNewRomanPSMT" w:hAnsi="Times New Roman" w:cs="Times New Roman"/>
          <w:noProof/>
          <w:sz w:val="24"/>
          <w:szCs w:val="24"/>
        </w:rPr>
        <w:t>P</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број хетероцитата</w:t>
      </w:r>
      <w:r w:rsidRPr="009C7EED">
        <w:rPr>
          <w:rFonts w:ascii="Times New Roman" w:hAnsi="Times New Roman" w:cs="Times New Roman"/>
          <w:noProof/>
          <w:sz w:val="24"/>
          <w:szCs w:val="24"/>
        </w:rPr>
        <w:t>: 0.</w:t>
      </w:r>
    </w:p>
    <w:p w:rsidR="001A50F2" w:rsidRPr="009C7EED" w:rsidRDefault="001A50F2" w:rsidP="00CC6F9E">
      <w:pPr>
        <w:pBdr>
          <w:bottom w:val="single" w:sz="6" w:space="1" w:color="808080"/>
        </w:pBdr>
        <w:spacing w:before="400" w:after="0"/>
        <w:jc w:val="both"/>
        <w:rPr>
          <w:rFonts w:ascii="Times New Roman" w:hAnsi="Times New Roman" w:cs="Times New Roman"/>
          <w:smallCaps/>
          <w:noProof/>
          <w:sz w:val="24"/>
          <w:szCs w:val="24"/>
        </w:rPr>
      </w:pPr>
      <w:r>
        <w:rPr>
          <w:rFonts w:ascii="Times New Roman" w:hAnsi="Times New Roman" w:cs="Times New Roman"/>
          <w:smallCaps/>
          <w:noProof/>
          <w:sz w:val="24"/>
          <w:szCs w:val="24"/>
        </w:rPr>
        <w:t>М</w:t>
      </w:r>
      <w:r w:rsidRPr="009C7EED">
        <w:rPr>
          <w:rFonts w:ascii="Times New Roman" w:hAnsi="Times New Roman" w:cs="Times New Roman"/>
          <w:smallCaps/>
          <w:noProof/>
          <w:sz w:val="24"/>
          <w:szCs w:val="24"/>
        </w:rPr>
        <w:t>30 (</w:t>
      </w:r>
      <w:r>
        <w:rPr>
          <w:rFonts w:ascii="Times New Roman" w:hAnsi="Times New Roman" w:cs="Times New Roman"/>
          <w:smallCaps/>
          <w:noProof/>
          <w:sz w:val="24"/>
          <w:szCs w:val="24"/>
        </w:rPr>
        <w:t>Саопшења са међународних научних скупова</w:t>
      </w:r>
      <w:r w:rsidRPr="009C7EED">
        <w:rPr>
          <w:rFonts w:ascii="Times New Roman" w:hAnsi="Times New Roman" w:cs="Times New Roman"/>
          <w:smallCaps/>
          <w:noProof/>
          <w:sz w:val="24"/>
          <w:szCs w:val="24"/>
        </w:rPr>
        <w:t>)</w:t>
      </w:r>
    </w:p>
    <w:p w:rsidR="001A50F2" w:rsidRPr="009C7EED" w:rsidRDefault="001A50F2" w:rsidP="008F5A84">
      <w:pPr>
        <w:tabs>
          <w:tab w:val="left" w:pos="3600"/>
          <w:tab w:val="right" w:pos="8640"/>
        </w:tabs>
        <w:spacing w:before="220" w:after="0"/>
        <w:ind w:left="2075"/>
        <w:jc w:val="both"/>
        <w:rPr>
          <w:rFonts w:ascii="Times New Roman" w:hAnsi="Times New Roman" w:cs="Times New Roman"/>
          <w:noProof/>
          <w:sz w:val="24"/>
          <w:szCs w:val="24"/>
        </w:rPr>
      </w:pPr>
      <w:r>
        <w:rPr>
          <w:rFonts w:ascii="Times New Roman" w:hAnsi="Times New Roman" w:cs="Times New Roman"/>
          <w:noProof/>
          <w:sz w:val="24"/>
          <w:szCs w:val="24"/>
        </w:rPr>
        <w:t>М</w:t>
      </w:r>
      <w:r w:rsidRPr="006C24F1">
        <w:rPr>
          <w:rFonts w:ascii="Times New Roman" w:hAnsi="Times New Roman" w:cs="Times New Roman"/>
          <w:noProof/>
          <w:sz w:val="24"/>
          <w:szCs w:val="24"/>
        </w:rPr>
        <w:t>34</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Панајотов</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Милош</w:t>
      </w:r>
      <w:r w:rsidRPr="009C7EED">
        <w:rPr>
          <w:rFonts w:ascii="Times New Roman" w:hAnsi="Times New Roman" w:cs="Times New Roman"/>
          <w:noProof/>
          <w:sz w:val="24"/>
          <w:szCs w:val="24"/>
        </w:rPr>
        <w:t xml:space="preserve"> (2019), </w:t>
      </w:r>
      <w:r>
        <w:rPr>
          <w:rFonts w:ascii="Times New Roman" w:hAnsi="Times New Roman" w:cs="Times New Roman"/>
          <w:noProof/>
          <w:sz w:val="24"/>
          <w:szCs w:val="24"/>
          <w:lang w:val="en-GB"/>
        </w:rPr>
        <w:t>“</w:t>
      </w:r>
      <w:r>
        <w:rPr>
          <w:rFonts w:ascii="Times New Roman" w:hAnsi="Times New Roman" w:cs="Times New Roman"/>
          <w:noProof/>
          <w:sz w:val="24"/>
          <w:szCs w:val="24"/>
        </w:rPr>
        <w:t>On</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Dasgupta</w:t>
      </w:r>
      <w:r w:rsidRPr="009C7EED">
        <w:rPr>
          <w:rFonts w:ascii="Times New Roman" w:hAnsi="Times New Roman" w:cs="Times New Roman"/>
          <w:noProof/>
          <w:sz w:val="24"/>
          <w:szCs w:val="24"/>
        </w:rPr>
        <w:t>'</w:t>
      </w:r>
      <w:r>
        <w:rPr>
          <w:rFonts w:ascii="Times New Roman" w:hAnsi="Times New Roman" w:cs="Times New Roman"/>
          <w:noProof/>
          <w:sz w:val="24"/>
          <w:szCs w:val="24"/>
        </w:rPr>
        <w:t>s</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deflationar</w:t>
      </w:r>
      <w:r w:rsidRPr="009C7EED">
        <w:rPr>
          <w:rFonts w:ascii="Times New Roman" w:hAnsi="Times New Roman" w:cs="Times New Roman"/>
          <w:noProof/>
          <w:sz w:val="24"/>
          <w:szCs w:val="24"/>
        </w:rPr>
        <w:t xml:space="preserve">y </w:t>
      </w:r>
      <w:r>
        <w:rPr>
          <w:rFonts w:ascii="Times New Roman" w:hAnsi="Times New Roman" w:cs="Times New Roman"/>
          <w:noProof/>
          <w:sz w:val="24"/>
          <w:szCs w:val="24"/>
        </w:rPr>
        <w:t>conception</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of</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grounding</w:t>
      </w:r>
      <w:r>
        <w:rPr>
          <w:rFonts w:ascii="Times New Roman" w:hAnsi="Times New Roman" w:cs="Times New Roman"/>
          <w:noProof/>
          <w:sz w:val="24"/>
          <w:szCs w:val="24"/>
          <w:lang w:val="en-GB"/>
        </w:rPr>
        <w:t>”</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у</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 xml:space="preserve">Конференција </w:t>
      </w:r>
      <w:r>
        <w:rPr>
          <w:rFonts w:ascii="Times New Roman" w:hAnsi="Times New Roman" w:cs="Times New Roman"/>
          <w:noProof/>
          <w:sz w:val="24"/>
          <w:szCs w:val="24"/>
          <w:lang w:val="en-GB"/>
        </w:rPr>
        <w:t>“</w:t>
      </w:r>
      <w:r>
        <w:rPr>
          <w:rFonts w:ascii="Times New Roman" w:hAnsi="Times New Roman" w:cs="Times New Roman"/>
          <w:noProof/>
          <w:sz w:val="24"/>
          <w:szCs w:val="24"/>
        </w:rPr>
        <w:t>Fourth</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Belgrade</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Graduate</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Conference</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in</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Philosophy</w:t>
      </w:r>
      <w:r>
        <w:rPr>
          <w:rFonts w:ascii="Times New Roman" w:hAnsi="Times New Roman" w:cs="Times New Roman"/>
          <w:noProof/>
          <w:sz w:val="24"/>
          <w:szCs w:val="24"/>
          <w:lang w:val="en-GB"/>
        </w:rPr>
        <w:t xml:space="preserve">” </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Књига апстраката</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стр</w:t>
      </w:r>
      <w:r w:rsidRPr="009C7EED">
        <w:rPr>
          <w:rFonts w:ascii="Times New Roman" w:hAnsi="Times New Roman" w:cs="Times New Roman"/>
          <w:noProof/>
          <w:sz w:val="24"/>
          <w:szCs w:val="24"/>
        </w:rPr>
        <w:t xml:space="preserve">. 18), </w:t>
      </w:r>
      <w:r>
        <w:rPr>
          <w:rFonts w:ascii="Times New Roman" w:hAnsi="Times New Roman" w:cs="Times New Roman"/>
          <w:noProof/>
          <w:sz w:val="24"/>
          <w:szCs w:val="24"/>
        </w:rPr>
        <w:t>Београд</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Филозофски факултет Универзитета у Београду</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број хетероцитата</w:t>
      </w:r>
      <w:r w:rsidRPr="009C7EED">
        <w:rPr>
          <w:rFonts w:ascii="Times New Roman" w:hAnsi="Times New Roman" w:cs="Times New Roman"/>
          <w:noProof/>
          <w:sz w:val="24"/>
          <w:szCs w:val="24"/>
        </w:rPr>
        <w:t>: 0.</w:t>
      </w:r>
    </w:p>
    <w:p w:rsidR="001A50F2" w:rsidRPr="009C7EED" w:rsidRDefault="001A50F2" w:rsidP="00CC6F9E">
      <w:pPr>
        <w:pBdr>
          <w:bottom w:val="single" w:sz="6" w:space="1" w:color="808080"/>
        </w:pBdr>
        <w:spacing w:before="400" w:after="0"/>
        <w:jc w:val="both"/>
        <w:rPr>
          <w:rFonts w:ascii="Times New Roman" w:hAnsi="Times New Roman" w:cs="Times New Roman"/>
          <w:smallCaps/>
          <w:noProof/>
          <w:sz w:val="24"/>
          <w:szCs w:val="24"/>
        </w:rPr>
      </w:pPr>
      <w:r>
        <w:rPr>
          <w:rFonts w:ascii="Times New Roman" w:hAnsi="Times New Roman" w:cs="Times New Roman"/>
          <w:smallCaps/>
          <w:noProof/>
          <w:sz w:val="24"/>
          <w:szCs w:val="24"/>
        </w:rPr>
        <w:t>М</w:t>
      </w:r>
      <w:r w:rsidRPr="009C7EED">
        <w:rPr>
          <w:rFonts w:ascii="Times New Roman" w:hAnsi="Times New Roman" w:cs="Times New Roman"/>
          <w:smallCaps/>
          <w:noProof/>
          <w:sz w:val="24"/>
          <w:szCs w:val="24"/>
        </w:rPr>
        <w:t>70 (</w:t>
      </w:r>
      <w:r>
        <w:rPr>
          <w:rFonts w:ascii="Times New Roman" w:hAnsi="Times New Roman" w:cs="Times New Roman"/>
          <w:smallCaps/>
          <w:noProof/>
          <w:sz w:val="24"/>
          <w:szCs w:val="24"/>
        </w:rPr>
        <w:t>Докторска дисертација</w:t>
      </w:r>
      <w:r w:rsidRPr="009C7EED">
        <w:rPr>
          <w:rFonts w:ascii="Times New Roman" w:hAnsi="Times New Roman" w:cs="Times New Roman"/>
          <w:smallCaps/>
          <w:noProof/>
          <w:sz w:val="24"/>
          <w:szCs w:val="24"/>
        </w:rPr>
        <w:t>)</w:t>
      </w:r>
    </w:p>
    <w:p w:rsidR="001A50F2" w:rsidRPr="009C7EED" w:rsidRDefault="001A50F2" w:rsidP="008F5A84">
      <w:pPr>
        <w:tabs>
          <w:tab w:val="left" w:pos="3600"/>
          <w:tab w:val="right" w:pos="8640"/>
        </w:tabs>
        <w:spacing w:before="220" w:after="0"/>
        <w:ind w:left="2075"/>
        <w:jc w:val="both"/>
        <w:rPr>
          <w:rFonts w:ascii="Times New Roman" w:hAnsi="Times New Roman" w:cs="Times New Roman"/>
          <w:noProof/>
          <w:sz w:val="24"/>
          <w:szCs w:val="24"/>
        </w:rPr>
      </w:pPr>
      <w:r>
        <w:rPr>
          <w:rFonts w:ascii="Times New Roman" w:hAnsi="Times New Roman" w:cs="Times New Roman"/>
          <w:noProof/>
          <w:sz w:val="24"/>
          <w:szCs w:val="24"/>
        </w:rPr>
        <w:t>М</w:t>
      </w:r>
      <w:r w:rsidRPr="008F5A84">
        <w:rPr>
          <w:rFonts w:ascii="Times New Roman" w:hAnsi="Times New Roman" w:cs="Times New Roman"/>
          <w:noProof/>
          <w:sz w:val="24"/>
          <w:szCs w:val="24"/>
        </w:rPr>
        <w:t>70</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Панајотов</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Милош</w:t>
      </w:r>
      <w:r w:rsidRPr="009C7EED">
        <w:rPr>
          <w:rFonts w:ascii="Times New Roman" w:hAnsi="Times New Roman" w:cs="Times New Roman"/>
          <w:noProof/>
          <w:sz w:val="24"/>
          <w:szCs w:val="24"/>
        </w:rPr>
        <w:t xml:space="preserve"> (2024), „</w:t>
      </w:r>
      <w:r>
        <w:rPr>
          <w:rFonts w:ascii="Times New Roman" w:hAnsi="Times New Roman" w:cs="Times New Roman"/>
          <w:noProof/>
          <w:sz w:val="24"/>
          <w:szCs w:val="24"/>
        </w:rPr>
        <w:t>Појам утемељивања у савременој метафизици</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Београд</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Филозофски факултет</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број хетероцитата</w:t>
      </w:r>
      <w:r w:rsidRPr="009C7EED">
        <w:rPr>
          <w:rFonts w:ascii="Times New Roman" w:hAnsi="Times New Roman" w:cs="Times New Roman"/>
          <w:noProof/>
          <w:sz w:val="24"/>
          <w:szCs w:val="24"/>
        </w:rPr>
        <w:t>: 0.</w:t>
      </w:r>
    </w:p>
    <w:p w:rsidR="001A50F2" w:rsidRPr="009C7EED" w:rsidRDefault="001A50F2" w:rsidP="00E32F3E">
      <w:pPr>
        <w:rPr>
          <w:noProof/>
        </w:rPr>
      </w:pPr>
    </w:p>
    <w:p w:rsidR="001A50F2" w:rsidRPr="009C7EED" w:rsidRDefault="001A50F2" w:rsidP="00CC6F9E">
      <w:pPr>
        <w:jc w:val="both"/>
        <w:rPr>
          <w:rFonts w:ascii="Times New Roman" w:hAnsi="Times New Roman" w:cs="Times New Roman"/>
          <w:b/>
          <w:bCs/>
          <w:i/>
          <w:iCs/>
          <w:noProof/>
          <w:sz w:val="24"/>
          <w:szCs w:val="24"/>
        </w:rPr>
      </w:pPr>
      <w:r w:rsidRPr="009C7EED">
        <w:rPr>
          <w:rFonts w:ascii="Times New Roman" w:hAnsi="Times New Roman" w:cs="Times New Roman"/>
          <w:b/>
          <w:bCs/>
          <w:i/>
          <w:iCs/>
          <w:noProof/>
          <w:sz w:val="24"/>
          <w:szCs w:val="24"/>
        </w:rPr>
        <w:t>Табеларни приказ квантитативне оцене научних резултата</w:t>
      </w:r>
    </w:p>
    <w:tbl>
      <w:tblPr>
        <w:tblW w:w="9360" w:type="dxa"/>
        <w:tblInd w:w="2" w:type="dxa"/>
        <w:tblLayout w:type="fixed"/>
        <w:tblCellMar>
          <w:left w:w="0" w:type="dxa"/>
          <w:right w:w="0" w:type="dxa"/>
        </w:tblCellMar>
        <w:tblLook w:val="0000"/>
      </w:tblPr>
      <w:tblGrid>
        <w:gridCol w:w="1620"/>
        <w:gridCol w:w="5400"/>
        <w:gridCol w:w="1260"/>
        <w:gridCol w:w="1080"/>
      </w:tblGrid>
      <w:tr w:rsidR="001A50F2" w:rsidRPr="000B5234">
        <w:trPr>
          <w:cantSplit/>
          <w:trHeight w:val="253"/>
          <w:tblHeader/>
        </w:trPr>
        <w:tc>
          <w:tcPr>
            <w:tcW w:w="1620" w:type="dxa"/>
            <w:tcBorders>
              <w:top w:val="nil"/>
              <w:left w:val="nil"/>
              <w:bottom w:val="nil"/>
              <w:right w:val="nil"/>
            </w:tcBorders>
            <w:vAlign w:val="bottom"/>
          </w:tcPr>
          <w:p w:rsidR="001A50F2" w:rsidRPr="000B5234" w:rsidRDefault="001A50F2" w:rsidP="004453A7">
            <w:pPr>
              <w:widowControl w:val="0"/>
              <w:spacing w:after="0"/>
              <w:rPr>
                <w:rFonts w:ascii="Times New Roman" w:hAnsi="Times New Roman" w:cs="Times New Roman"/>
                <w:noProof/>
              </w:rPr>
            </w:pPr>
          </w:p>
        </w:tc>
        <w:tc>
          <w:tcPr>
            <w:tcW w:w="5400" w:type="dxa"/>
            <w:tcBorders>
              <w:top w:val="nil"/>
              <w:left w:val="nil"/>
              <w:bottom w:val="nil"/>
            </w:tcBorders>
            <w:vAlign w:val="bottom"/>
          </w:tcPr>
          <w:p w:rsidR="001A50F2" w:rsidRPr="000B5234" w:rsidRDefault="001A50F2" w:rsidP="004453A7">
            <w:pPr>
              <w:widowControl w:val="0"/>
              <w:spacing w:after="0"/>
              <w:jc w:val="center"/>
              <w:rPr>
                <w:rFonts w:ascii="Times New Roman" w:hAnsi="Times New Roman" w:cs="Times New Roman"/>
                <w:noProof/>
              </w:rPr>
            </w:pPr>
            <w:r w:rsidRPr="000B5234">
              <w:rPr>
                <w:rFonts w:ascii="Times New Roman" w:hAnsi="Times New Roman" w:cs="Times New Roman"/>
                <w:b/>
                <w:bCs/>
                <w:noProof/>
              </w:rPr>
              <w:t>За друштвене и хуманистичке науке</w:t>
            </w:r>
          </w:p>
        </w:tc>
        <w:tc>
          <w:tcPr>
            <w:tcW w:w="1260" w:type="dxa"/>
            <w:tcBorders>
              <w:top w:val="nil"/>
              <w:left w:val="nil"/>
            </w:tcBorders>
            <w:vAlign w:val="bottom"/>
          </w:tcPr>
          <w:p w:rsidR="001A50F2" w:rsidRPr="000B5234" w:rsidRDefault="001A50F2" w:rsidP="004453A7">
            <w:pPr>
              <w:widowControl w:val="0"/>
              <w:spacing w:after="0"/>
              <w:rPr>
                <w:rFonts w:ascii="Times New Roman" w:hAnsi="Times New Roman" w:cs="Times New Roman"/>
                <w:noProof/>
              </w:rPr>
            </w:pPr>
          </w:p>
        </w:tc>
        <w:tc>
          <w:tcPr>
            <w:tcW w:w="1080" w:type="dxa"/>
            <w:tcBorders>
              <w:top w:val="nil"/>
              <w:left w:val="nil"/>
              <w:bottom w:val="nil"/>
              <w:right w:val="nil"/>
            </w:tcBorders>
            <w:vAlign w:val="bottom"/>
          </w:tcPr>
          <w:p w:rsidR="001A50F2" w:rsidRPr="000B5234" w:rsidRDefault="001A50F2" w:rsidP="004453A7">
            <w:pPr>
              <w:widowControl w:val="0"/>
              <w:spacing w:after="0"/>
              <w:rPr>
                <w:rFonts w:ascii="Times New Roman" w:hAnsi="Times New Roman" w:cs="Times New Roman"/>
                <w:noProof/>
              </w:rPr>
            </w:pPr>
          </w:p>
        </w:tc>
      </w:tr>
    </w:tbl>
    <w:p w:rsidR="001A50F2" w:rsidRPr="009C7EED" w:rsidRDefault="001A50F2" w:rsidP="00E32F3E">
      <w:pPr>
        <w:rPr>
          <w:noProof/>
        </w:rPr>
      </w:pPr>
    </w:p>
    <w:tbl>
      <w:tblPr>
        <w:tblW w:w="9949" w:type="dxa"/>
        <w:tblInd w:w="2" w:type="dxa"/>
        <w:tblLayout w:type="fixed"/>
        <w:tblCellMar>
          <w:left w:w="0" w:type="dxa"/>
          <w:right w:w="0" w:type="dxa"/>
        </w:tblCellMar>
        <w:tblLook w:val="0000"/>
      </w:tblPr>
      <w:tblGrid>
        <w:gridCol w:w="2050"/>
        <w:gridCol w:w="5416"/>
        <w:gridCol w:w="1263"/>
        <w:gridCol w:w="1220"/>
      </w:tblGrid>
      <w:tr w:rsidR="001A50F2" w:rsidRPr="000B5234">
        <w:trPr>
          <w:cantSplit/>
          <w:trHeight w:val="923"/>
          <w:tblHeader/>
        </w:trPr>
        <w:tc>
          <w:tcPr>
            <w:tcW w:w="2050" w:type="dxa"/>
            <w:tcBorders>
              <w:top w:val="nil"/>
              <w:left w:val="nil"/>
              <w:bottom w:val="single" w:sz="8" w:space="0" w:color="000000"/>
              <w:right w:val="nil"/>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5416" w:type="dxa"/>
            <w:tcBorders>
              <w:top w:val="nil"/>
              <w:left w:val="nil"/>
              <w:bottom w:val="single" w:sz="4" w:space="0" w:color="000000"/>
            </w:tcBorders>
            <w:vAlign w:val="bottom"/>
          </w:tcPr>
          <w:p w:rsidR="001A50F2" w:rsidRPr="000B5234" w:rsidRDefault="001A50F2" w:rsidP="004453A7">
            <w:pPr>
              <w:widowControl w:val="0"/>
              <w:spacing w:after="0"/>
              <w:jc w:val="center"/>
              <w:rPr>
                <w:rFonts w:ascii="Times New Roman" w:hAnsi="Times New Roman" w:cs="Times New Roman"/>
                <w:noProof/>
                <w:sz w:val="24"/>
                <w:szCs w:val="24"/>
              </w:rPr>
            </w:pPr>
          </w:p>
        </w:tc>
        <w:tc>
          <w:tcPr>
            <w:tcW w:w="1263" w:type="dxa"/>
            <w:tcBorders>
              <w:top w:val="nil"/>
              <w:bottom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nil"/>
              <w:bottom w:val="single" w:sz="8" w:space="0" w:color="000000"/>
              <w:right w:val="nil"/>
            </w:tcBorders>
            <w:vAlign w:val="bottom"/>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184"/>
          <w:tblHeader/>
        </w:trPr>
        <w:tc>
          <w:tcPr>
            <w:tcW w:w="2050" w:type="dxa"/>
            <w:tcBorders>
              <w:top w:val="nil"/>
              <w:left w:val="single" w:sz="8" w:space="0" w:color="000000"/>
              <w:bottom w:val="nil"/>
              <w:right w:val="single" w:sz="4" w:space="0" w:color="000000"/>
            </w:tcBorders>
          </w:tcPr>
          <w:p w:rsidR="001A50F2" w:rsidRPr="000B5234" w:rsidRDefault="001A50F2" w:rsidP="004453A7">
            <w:pPr>
              <w:spacing w:after="0"/>
              <w:rPr>
                <w:rFonts w:ascii="Times New Roman" w:hAnsi="Times New Roman" w:cs="Times New Roman"/>
                <w:noProof/>
              </w:rPr>
            </w:pPr>
          </w:p>
        </w:tc>
        <w:tc>
          <w:tcPr>
            <w:tcW w:w="5416" w:type="dxa"/>
            <w:tcBorders>
              <w:top w:val="nil"/>
              <w:left w:val="single" w:sz="4"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63" w:type="dxa"/>
            <w:tcBorders>
              <w:top w:val="nil"/>
              <w:left w:val="single" w:sz="4"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single" w:sz="4" w:space="0" w:color="000000"/>
              <w:bottom w:val="nil"/>
              <w:right w:val="single" w:sz="8"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20"/>
          <w:tblHeader/>
        </w:trPr>
        <w:tc>
          <w:tcPr>
            <w:tcW w:w="2050" w:type="dxa"/>
            <w:tcBorders>
              <w:top w:val="nil"/>
              <w:left w:val="single" w:sz="8" w:space="0" w:color="000000"/>
              <w:bottom w:val="nil"/>
              <w:right w:val="single" w:sz="4" w:space="0" w:color="000000"/>
            </w:tcBorders>
            <w:vAlign w:val="center"/>
          </w:tcPr>
          <w:p w:rsidR="001A50F2" w:rsidRPr="000B5234" w:rsidRDefault="001A50F2" w:rsidP="00CC6F9E">
            <w:pPr>
              <w:spacing w:after="0"/>
              <w:rPr>
                <w:rFonts w:ascii="Times New Roman" w:hAnsi="Times New Roman" w:cs="Times New Roman"/>
                <w:noProof/>
                <w:sz w:val="24"/>
                <w:szCs w:val="24"/>
              </w:rPr>
            </w:pPr>
            <w:r w:rsidRPr="000B5234">
              <w:rPr>
                <w:rFonts w:ascii="Times New Roman" w:hAnsi="Times New Roman" w:cs="Times New Roman"/>
                <w:noProof/>
                <w:sz w:val="24"/>
                <w:szCs w:val="24"/>
              </w:rPr>
              <w:t xml:space="preserve">Диференцијални услов – од првог избора у претходно звање до избора и звање </w:t>
            </w:r>
          </w:p>
        </w:tc>
        <w:tc>
          <w:tcPr>
            <w:tcW w:w="5416" w:type="dxa"/>
            <w:tcBorders>
              <w:top w:val="nil"/>
              <w:left w:val="single" w:sz="4" w:space="0" w:color="000000"/>
              <w:bottom w:val="nil"/>
              <w:right w:val="single" w:sz="4" w:space="0" w:color="000000"/>
            </w:tcBorders>
            <w:vAlign w:val="center"/>
          </w:tcPr>
          <w:p w:rsidR="001A50F2" w:rsidRPr="000B5234" w:rsidRDefault="001A50F2" w:rsidP="00CC6F9E">
            <w:pPr>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Потребно је да кандидат има најмање XX поена, који треба да припадају следећим категоријама:</w:t>
            </w:r>
          </w:p>
        </w:tc>
        <w:tc>
          <w:tcPr>
            <w:tcW w:w="1263" w:type="dxa"/>
            <w:tcBorders>
              <w:top w:val="nil"/>
              <w:left w:val="single" w:sz="4"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single" w:sz="4" w:space="0" w:color="000000"/>
              <w:bottom w:val="nil"/>
              <w:right w:val="single" w:sz="8"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20"/>
          <w:tblHeader/>
        </w:trPr>
        <w:tc>
          <w:tcPr>
            <w:tcW w:w="2050" w:type="dxa"/>
            <w:tcBorders>
              <w:top w:val="nil"/>
              <w:left w:val="single" w:sz="8" w:space="0" w:color="000000"/>
              <w:right w:val="single" w:sz="4" w:space="0" w:color="000000"/>
            </w:tcBorders>
          </w:tcPr>
          <w:p w:rsidR="001A50F2" w:rsidRPr="000B5234" w:rsidRDefault="001A50F2" w:rsidP="004453A7">
            <w:pPr>
              <w:spacing w:after="0"/>
              <w:rPr>
                <w:rFonts w:ascii="Times New Roman" w:hAnsi="Times New Roman" w:cs="Times New Roman"/>
                <w:noProof/>
                <w:sz w:val="24"/>
                <w:szCs w:val="24"/>
              </w:rPr>
            </w:pPr>
          </w:p>
        </w:tc>
        <w:tc>
          <w:tcPr>
            <w:tcW w:w="5416" w:type="dxa"/>
            <w:tcBorders>
              <w:top w:val="nil"/>
              <w:left w:val="single" w:sz="4" w:space="0" w:color="000000"/>
              <w:right w:val="single" w:sz="4" w:space="0" w:color="000000"/>
            </w:tcBorders>
          </w:tcPr>
          <w:p w:rsidR="001A50F2" w:rsidRPr="000B5234" w:rsidRDefault="001A50F2" w:rsidP="004453A7">
            <w:pPr>
              <w:spacing w:after="0"/>
              <w:rPr>
                <w:rFonts w:ascii="Times New Roman" w:hAnsi="Times New Roman" w:cs="Times New Roman"/>
                <w:noProof/>
                <w:sz w:val="24"/>
                <w:szCs w:val="24"/>
              </w:rPr>
            </w:pPr>
          </w:p>
        </w:tc>
        <w:tc>
          <w:tcPr>
            <w:tcW w:w="1263" w:type="dxa"/>
            <w:tcBorders>
              <w:top w:val="nil"/>
              <w:left w:val="single" w:sz="4" w:space="0" w:color="000000"/>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single" w:sz="4" w:space="0" w:color="000000"/>
              <w:right w:val="single" w:sz="8"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63"/>
          <w:tblHeader/>
        </w:trPr>
        <w:tc>
          <w:tcPr>
            <w:tcW w:w="2050" w:type="dxa"/>
            <w:tcBorders>
              <w:top w:val="nil"/>
              <w:left w:val="single" w:sz="8" w:space="0" w:color="000000"/>
              <w:bottom w:val="nil"/>
              <w:right w:val="single" w:sz="4" w:space="0" w:color="000000"/>
            </w:tcBorders>
          </w:tcPr>
          <w:p w:rsidR="001A50F2" w:rsidRPr="000B5234" w:rsidRDefault="001A50F2" w:rsidP="004453A7">
            <w:pPr>
              <w:spacing w:after="0"/>
              <w:rPr>
                <w:rFonts w:ascii="Times New Roman" w:hAnsi="Times New Roman" w:cs="Times New Roman"/>
                <w:noProof/>
                <w:sz w:val="24"/>
                <w:szCs w:val="24"/>
              </w:rPr>
            </w:pPr>
          </w:p>
        </w:tc>
        <w:tc>
          <w:tcPr>
            <w:tcW w:w="5416" w:type="dxa"/>
            <w:tcBorders>
              <w:top w:val="nil"/>
              <w:left w:val="single" w:sz="4"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63" w:type="dxa"/>
            <w:tcBorders>
              <w:top w:val="nil"/>
              <w:left w:val="single" w:sz="4"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single" w:sz="4" w:space="0" w:color="000000"/>
              <w:bottom w:val="nil"/>
              <w:right w:val="single" w:sz="8"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215"/>
          <w:tblHeader/>
        </w:trPr>
        <w:tc>
          <w:tcPr>
            <w:tcW w:w="2050" w:type="dxa"/>
            <w:tcBorders>
              <w:top w:val="single" w:sz="4" w:space="0" w:color="000000"/>
              <w:left w:val="single" w:sz="8"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5416" w:type="dxa"/>
            <w:tcBorders>
              <w:top w:val="single" w:sz="4" w:space="0" w:color="000000"/>
              <w:left w:val="single" w:sz="4" w:space="0" w:color="000000"/>
              <w:bottom w:val="nil"/>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63" w:type="dxa"/>
            <w:tcBorders>
              <w:top w:val="single" w:sz="4" w:space="0" w:color="000000"/>
              <w:left w:val="single" w:sz="4" w:space="0" w:color="000000"/>
              <w:bottom w:val="nil"/>
              <w:right w:val="single" w:sz="4" w:space="0" w:color="000000"/>
            </w:tcBorders>
            <w:vAlign w:val="center"/>
          </w:tcPr>
          <w:p w:rsidR="001A50F2" w:rsidRPr="000B5234" w:rsidRDefault="001A50F2" w:rsidP="004453A7">
            <w:pPr>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Неопходно</w:t>
            </w:r>
          </w:p>
        </w:tc>
        <w:tc>
          <w:tcPr>
            <w:tcW w:w="1220" w:type="dxa"/>
            <w:tcBorders>
              <w:top w:val="single" w:sz="4" w:space="0" w:color="000000"/>
              <w:left w:val="single" w:sz="4" w:space="0" w:color="000000"/>
              <w:bottom w:val="nil"/>
              <w:right w:val="single" w:sz="8" w:space="0" w:color="000000"/>
            </w:tcBorders>
            <w:vAlign w:val="center"/>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Остварено</w:t>
            </w:r>
          </w:p>
        </w:tc>
      </w:tr>
      <w:tr w:rsidR="001A50F2" w:rsidRPr="000B5234">
        <w:trPr>
          <w:cantSplit/>
          <w:trHeight w:val="355"/>
          <w:tblHeader/>
        </w:trPr>
        <w:tc>
          <w:tcPr>
            <w:tcW w:w="2050" w:type="dxa"/>
            <w:tcBorders>
              <w:top w:val="nil"/>
              <w:left w:val="single" w:sz="8" w:space="0" w:color="000000"/>
              <w:bottom w:val="single" w:sz="4" w:space="0" w:color="000000"/>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5416" w:type="dxa"/>
            <w:tcBorders>
              <w:top w:val="nil"/>
              <w:left w:val="single" w:sz="4" w:space="0" w:color="000000"/>
              <w:bottom w:val="single" w:sz="4" w:space="0" w:color="000000"/>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63" w:type="dxa"/>
            <w:tcBorders>
              <w:top w:val="nil"/>
              <w:left w:val="single" w:sz="4" w:space="0" w:color="000000"/>
              <w:bottom w:val="single" w:sz="4" w:space="0" w:color="000000"/>
              <w:right w:val="single" w:sz="4" w:space="0" w:color="000000"/>
            </w:tcBorders>
            <w:vAlign w:val="center"/>
          </w:tcPr>
          <w:p w:rsidR="001A50F2" w:rsidRPr="000B5234" w:rsidRDefault="001A50F2" w:rsidP="004453A7">
            <w:pPr>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XX=</w:t>
            </w:r>
          </w:p>
        </w:tc>
        <w:tc>
          <w:tcPr>
            <w:tcW w:w="1220" w:type="dxa"/>
            <w:tcBorders>
              <w:top w:val="nil"/>
              <w:left w:val="single" w:sz="4" w:space="0" w:color="000000"/>
              <w:bottom w:val="single" w:sz="4" w:space="0" w:color="000000"/>
              <w:right w:val="single" w:sz="8" w:space="0" w:color="000000"/>
            </w:tcBorders>
            <w:vAlign w:val="bottom"/>
          </w:tcPr>
          <w:p w:rsidR="001A50F2" w:rsidRPr="000B5234" w:rsidRDefault="001A50F2" w:rsidP="004453A7">
            <w:pPr>
              <w:widowControl w:val="0"/>
              <w:spacing w:after="0"/>
              <w:jc w:val="center"/>
              <w:rPr>
                <w:rFonts w:ascii="Times New Roman" w:hAnsi="Times New Roman" w:cs="Times New Roman"/>
                <w:noProof/>
                <w:sz w:val="24"/>
                <w:szCs w:val="24"/>
              </w:rPr>
            </w:pPr>
          </w:p>
        </w:tc>
      </w:tr>
      <w:tr w:rsidR="001A50F2" w:rsidRPr="000B5234">
        <w:trPr>
          <w:cantSplit/>
          <w:trHeight w:val="215"/>
          <w:tblHeader/>
        </w:trPr>
        <w:tc>
          <w:tcPr>
            <w:tcW w:w="2050" w:type="dxa"/>
            <w:tcBorders>
              <w:top w:val="single" w:sz="4" w:space="0" w:color="000000"/>
              <w:left w:val="single" w:sz="8" w:space="0" w:color="000000"/>
              <w:bottom w:val="nil"/>
              <w:right w:val="single" w:sz="4" w:space="0" w:color="000000"/>
            </w:tcBorders>
            <w:vAlign w:val="center"/>
          </w:tcPr>
          <w:p w:rsidR="001A50F2" w:rsidRPr="000B5234" w:rsidRDefault="001A50F2" w:rsidP="004453A7">
            <w:pPr>
              <w:spacing w:after="0"/>
              <w:rPr>
                <w:rFonts w:ascii="Times New Roman" w:hAnsi="Times New Roman" w:cs="Times New Roman"/>
                <w:b/>
                <w:bCs/>
                <w:noProof/>
                <w:sz w:val="24"/>
                <w:szCs w:val="24"/>
              </w:rPr>
            </w:pPr>
            <w:r w:rsidRPr="000B5234">
              <w:rPr>
                <w:rFonts w:ascii="Times New Roman" w:hAnsi="Times New Roman" w:cs="Times New Roman"/>
                <w:b/>
                <w:bCs/>
                <w:noProof/>
                <w:sz w:val="24"/>
                <w:szCs w:val="24"/>
              </w:rPr>
              <w:t>Научни</w:t>
            </w:r>
          </w:p>
        </w:tc>
        <w:tc>
          <w:tcPr>
            <w:tcW w:w="5416" w:type="dxa"/>
            <w:tcBorders>
              <w:top w:val="single" w:sz="4" w:space="0" w:color="000000"/>
              <w:left w:val="single" w:sz="4" w:space="0" w:color="000000"/>
              <w:bottom w:val="nil"/>
              <w:right w:val="single" w:sz="4" w:space="0" w:color="000000"/>
            </w:tcBorders>
            <w:vAlign w:val="bottom"/>
          </w:tcPr>
          <w:p w:rsidR="001A50F2" w:rsidRPr="000B5234" w:rsidRDefault="001A50F2" w:rsidP="004453A7">
            <w:pPr>
              <w:widowControl w:val="0"/>
              <w:spacing w:after="0"/>
              <w:ind w:left="40"/>
              <w:rPr>
                <w:rFonts w:ascii="Times New Roman" w:hAnsi="Times New Roman" w:cs="Times New Roman"/>
                <w:noProof/>
                <w:sz w:val="24"/>
                <w:szCs w:val="24"/>
              </w:rPr>
            </w:pPr>
            <w:r w:rsidRPr="000B5234">
              <w:rPr>
                <w:rFonts w:ascii="Times New Roman" w:hAnsi="Times New Roman" w:cs="Times New Roman"/>
                <w:noProof/>
                <w:sz w:val="24"/>
                <w:szCs w:val="24"/>
              </w:rPr>
              <w:t>Укупно</w:t>
            </w:r>
          </w:p>
        </w:tc>
        <w:tc>
          <w:tcPr>
            <w:tcW w:w="1263" w:type="dxa"/>
            <w:tcBorders>
              <w:top w:val="single" w:sz="4" w:space="0" w:color="000000"/>
              <w:left w:val="single" w:sz="4" w:space="0" w:color="000000"/>
              <w:bottom w:val="nil"/>
              <w:right w:val="single" w:sz="8" w:space="0" w:color="000000"/>
            </w:tcBorders>
            <w:vAlign w:val="bottom"/>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16</w:t>
            </w:r>
          </w:p>
        </w:tc>
        <w:tc>
          <w:tcPr>
            <w:tcW w:w="1220" w:type="dxa"/>
            <w:tcBorders>
              <w:top w:val="single" w:sz="4" w:space="0" w:color="000000"/>
              <w:left w:val="single" w:sz="4" w:space="0" w:color="000000"/>
              <w:bottom w:val="nil"/>
              <w:right w:val="single" w:sz="8" w:space="0" w:color="000000"/>
            </w:tcBorders>
            <w:vAlign w:val="bottom"/>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18,5</w:t>
            </w:r>
          </w:p>
        </w:tc>
      </w:tr>
      <w:tr w:rsidR="001A50F2" w:rsidRPr="000B5234">
        <w:trPr>
          <w:cantSplit/>
          <w:trHeight w:val="226"/>
          <w:tblHeader/>
        </w:trPr>
        <w:tc>
          <w:tcPr>
            <w:tcW w:w="2050" w:type="dxa"/>
            <w:tcBorders>
              <w:top w:val="nil"/>
              <w:left w:val="single" w:sz="8" w:space="0" w:color="000000"/>
              <w:bottom w:val="single" w:sz="4" w:space="0" w:color="000000"/>
              <w:right w:val="single" w:sz="4" w:space="0" w:color="000000"/>
            </w:tcBorders>
            <w:vAlign w:val="center"/>
          </w:tcPr>
          <w:p w:rsidR="001A50F2" w:rsidRPr="000B5234" w:rsidRDefault="001A50F2" w:rsidP="004453A7">
            <w:pPr>
              <w:spacing w:after="0"/>
              <w:rPr>
                <w:rFonts w:ascii="Times New Roman" w:hAnsi="Times New Roman" w:cs="Times New Roman"/>
                <w:b/>
                <w:bCs/>
                <w:noProof/>
                <w:sz w:val="24"/>
                <w:szCs w:val="24"/>
              </w:rPr>
            </w:pPr>
            <w:r w:rsidRPr="000B5234">
              <w:rPr>
                <w:rFonts w:ascii="Times New Roman" w:hAnsi="Times New Roman" w:cs="Times New Roman"/>
                <w:b/>
                <w:bCs/>
                <w:noProof/>
                <w:sz w:val="24"/>
                <w:szCs w:val="24"/>
              </w:rPr>
              <w:t>сарадник</w:t>
            </w:r>
          </w:p>
        </w:tc>
        <w:tc>
          <w:tcPr>
            <w:tcW w:w="5416" w:type="dxa"/>
            <w:tcBorders>
              <w:top w:val="nil"/>
              <w:left w:val="single" w:sz="4" w:space="0" w:color="000000"/>
              <w:bottom w:val="single" w:sz="4" w:space="0" w:color="000000"/>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63" w:type="dxa"/>
            <w:tcBorders>
              <w:top w:val="nil"/>
              <w:left w:val="single" w:sz="4" w:space="0" w:color="000000"/>
              <w:bottom w:val="single" w:sz="4" w:space="0" w:color="000000"/>
              <w:right w:val="single" w:sz="8"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single" w:sz="4" w:space="0" w:color="000000"/>
              <w:bottom w:val="single" w:sz="4" w:space="0" w:color="000000"/>
              <w:right w:val="single" w:sz="8"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314"/>
          <w:tblHeader/>
        </w:trPr>
        <w:tc>
          <w:tcPr>
            <w:tcW w:w="2050" w:type="dxa"/>
            <w:tcBorders>
              <w:top w:val="single" w:sz="4" w:space="0" w:color="000000"/>
              <w:left w:val="single" w:sz="8" w:space="0" w:color="000000"/>
              <w:bottom w:val="nil"/>
              <w:right w:val="single" w:sz="4" w:space="0" w:color="000000"/>
            </w:tcBorders>
            <w:vAlign w:val="center"/>
          </w:tcPr>
          <w:p w:rsidR="001A50F2" w:rsidRPr="000B5234" w:rsidRDefault="001A50F2" w:rsidP="004453A7">
            <w:pPr>
              <w:spacing w:after="0"/>
              <w:rPr>
                <w:rFonts w:ascii="Times New Roman" w:hAnsi="Times New Roman" w:cs="Times New Roman"/>
                <w:noProof/>
                <w:sz w:val="24"/>
                <w:szCs w:val="24"/>
              </w:rPr>
            </w:pPr>
            <w:r w:rsidRPr="000B5234">
              <w:rPr>
                <w:rFonts w:ascii="Times New Roman" w:hAnsi="Times New Roman" w:cs="Times New Roman"/>
                <w:noProof/>
                <w:sz w:val="24"/>
                <w:szCs w:val="24"/>
              </w:rPr>
              <w:t>Обавезни (1)</w:t>
            </w:r>
          </w:p>
          <w:p w:rsidR="001A50F2" w:rsidRPr="000B5234" w:rsidRDefault="001A50F2" w:rsidP="004453A7">
            <w:pPr>
              <w:spacing w:after="0"/>
              <w:rPr>
                <w:rFonts w:ascii="Times New Roman" w:hAnsi="Times New Roman" w:cs="Times New Roman"/>
                <w:noProof/>
                <w:sz w:val="24"/>
                <w:szCs w:val="24"/>
              </w:rPr>
            </w:pPr>
          </w:p>
        </w:tc>
        <w:tc>
          <w:tcPr>
            <w:tcW w:w="5416" w:type="dxa"/>
            <w:tcBorders>
              <w:top w:val="single" w:sz="4" w:space="0" w:color="000000"/>
              <w:left w:val="single" w:sz="4" w:space="0" w:color="000000"/>
              <w:bottom w:val="nil"/>
              <w:right w:val="single" w:sz="4" w:space="0" w:color="000000"/>
            </w:tcBorders>
            <w:vAlign w:val="bottom"/>
          </w:tcPr>
          <w:p w:rsidR="001A50F2" w:rsidRPr="000B5234" w:rsidRDefault="001A50F2" w:rsidP="004453A7">
            <w:pPr>
              <w:widowControl w:val="0"/>
              <w:spacing w:after="0"/>
              <w:ind w:left="40"/>
              <w:rPr>
                <w:rFonts w:ascii="Times New Roman" w:hAnsi="Times New Roman" w:cs="Times New Roman"/>
                <w:noProof/>
                <w:sz w:val="24"/>
                <w:szCs w:val="24"/>
              </w:rPr>
            </w:pPr>
            <w:r w:rsidRPr="000B5234">
              <w:rPr>
                <w:rFonts w:ascii="Times New Roman" w:hAnsi="Times New Roman" w:cs="Times New Roman"/>
                <w:noProof/>
                <w:sz w:val="24"/>
                <w:szCs w:val="24"/>
              </w:rPr>
              <w:t>М10+М20+М31+М32+М33+М41+М42+М43+М44+М45+М51+М52</w:t>
            </w:r>
          </w:p>
        </w:tc>
        <w:tc>
          <w:tcPr>
            <w:tcW w:w="1263" w:type="dxa"/>
            <w:tcBorders>
              <w:top w:val="single" w:sz="4" w:space="0" w:color="000000"/>
              <w:left w:val="single" w:sz="4" w:space="0" w:color="000000"/>
              <w:bottom w:val="nil"/>
              <w:right w:val="single" w:sz="4" w:space="0" w:color="000000"/>
            </w:tcBorders>
            <w:vAlign w:val="center"/>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10</w:t>
            </w:r>
          </w:p>
        </w:tc>
        <w:tc>
          <w:tcPr>
            <w:tcW w:w="1220" w:type="dxa"/>
            <w:tcBorders>
              <w:top w:val="single" w:sz="4" w:space="0" w:color="000000"/>
              <w:left w:val="single" w:sz="4" w:space="0" w:color="000000"/>
              <w:bottom w:val="nil"/>
              <w:right w:val="single" w:sz="4" w:space="0" w:color="000000"/>
            </w:tcBorders>
            <w:vAlign w:val="center"/>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12</w:t>
            </w:r>
          </w:p>
        </w:tc>
      </w:tr>
      <w:tr w:rsidR="001A50F2" w:rsidRPr="000B5234">
        <w:trPr>
          <w:cantSplit/>
          <w:trHeight w:val="224"/>
          <w:tblHeader/>
        </w:trPr>
        <w:tc>
          <w:tcPr>
            <w:tcW w:w="2050" w:type="dxa"/>
            <w:tcBorders>
              <w:top w:val="nil"/>
              <w:left w:val="single" w:sz="8" w:space="0" w:color="000000"/>
              <w:bottom w:val="single" w:sz="4" w:space="0" w:color="000000"/>
              <w:right w:val="single" w:sz="4" w:space="0" w:color="000000"/>
            </w:tcBorders>
          </w:tcPr>
          <w:p w:rsidR="001A50F2" w:rsidRPr="000B5234" w:rsidRDefault="001A50F2" w:rsidP="004453A7">
            <w:pPr>
              <w:spacing w:after="0"/>
              <w:rPr>
                <w:rFonts w:ascii="Times New Roman" w:hAnsi="Times New Roman" w:cs="Times New Roman"/>
                <w:noProof/>
                <w:sz w:val="24"/>
                <w:szCs w:val="24"/>
              </w:rPr>
            </w:pPr>
          </w:p>
        </w:tc>
        <w:tc>
          <w:tcPr>
            <w:tcW w:w="5416" w:type="dxa"/>
            <w:tcBorders>
              <w:top w:val="nil"/>
              <w:left w:val="single" w:sz="4" w:space="0" w:color="000000"/>
              <w:bottom w:val="single" w:sz="4" w:space="0" w:color="000000"/>
              <w:right w:val="single" w:sz="4" w:space="0" w:color="000000"/>
            </w:tcBorders>
            <w:vAlign w:val="bottom"/>
          </w:tcPr>
          <w:p w:rsidR="001A50F2" w:rsidRPr="000B5234" w:rsidRDefault="001A50F2" w:rsidP="004453A7">
            <w:pPr>
              <w:widowControl w:val="0"/>
              <w:spacing w:after="0"/>
              <w:ind w:left="40"/>
              <w:rPr>
                <w:rFonts w:ascii="Times New Roman" w:hAnsi="Times New Roman" w:cs="Times New Roman"/>
                <w:noProof/>
                <w:sz w:val="24"/>
                <w:szCs w:val="24"/>
              </w:rPr>
            </w:pPr>
          </w:p>
        </w:tc>
        <w:tc>
          <w:tcPr>
            <w:tcW w:w="1263" w:type="dxa"/>
            <w:tcBorders>
              <w:top w:val="nil"/>
              <w:left w:val="single" w:sz="4" w:space="0" w:color="000000"/>
              <w:bottom w:val="single" w:sz="4" w:space="0" w:color="000000"/>
              <w:right w:val="single" w:sz="4" w:space="0" w:color="000000"/>
            </w:tcBorders>
            <w:vAlign w:val="center"/>
          </w:tcPr>
          <w:p w:rsidR="001A50F2" w:rsidRPr="000B5234" w:rsidRDefault="001A50F2" w:rsidP="004453A7">
            <w:pPr>
              <w:widowControl w:val="0"/>
              <w:spacing w:after="0"/>
              <w:rPr>
                <w:rFonts w:ascii="Times New Roman" w:hAnsi="Times New Roman" w:cs="Times New Roman"/>
                <w:noProof/>
                <w:sz w:val="24"/>
                <w:szCs w:val="24"/>
              </w:rPr>
            </w:pPr>
          </w:p>
        </w:tc>
        <w:tc>
          <w:tcPr>
            <w:tcW w:w="1220" w:type="dxa"/>
            <w:tcBorders>
              <w:top w:val="nil"/>
              <w:left w:val="single" w:sz="4" w:space="0" w:color="000000"/>
              <w:bottom w:val="single" w:sz="4" w:space="0" w:color="000000"/>
              <w:right w:val="single" w:sz="4" w:space="0" w:color="000000"/>
            </w:tcBorders>
            <w:vAlign w:val="center"/>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215"/>
          <w:tblHeader/>
        </w:trPr>
        <w:tc>
          <w:tcPr>
            <w:tcW w:w="2050" w:type="dxa"/>
            <w:tcBorders>
              <w:top w:val="single" w:sz="4" w:space="0" w:color="000000"/>
              <w:left w:val="single" w:sz="8" w:space="0" w:color="000000"/>
              <w:bottom w:val="nil"/>
              <w:right w:val="single" w:sz="4" w:space="0" w:color="000000"/>
            </w:tcBorders>
          </w:tcPr>
          <w:p w:rsidR="001A50F2" w:rsidRPr="000B5234" w:rsidRDefault="001A50F2" w:rsidP="004453A7">
            <w:pPr>
              <w:spacing w:after="0"/>
              <w:rPr>
                <w:rFonts w:ascii="Times New Roman" w:hAnsi="Times New Roman" w:cs="Times New Roman"/>
                <w:noProof/>
                <w:sz w:val="24"/>
                <w:szCs w:val="24"/>
              </w:rPr>
            </w:pPr>
            <w:r w:rsidRPr="000B5234">
              <w:rPr>
                <w:rFonts w:ascii="Times New Roman" w:hAnsi="Times New Roman" w:cs="Times New Roman"/>
                <w:noProof/>
                <w:sz w:val="24"/>
                <w:szCs w:val="24"/>
              </w:rPr>
              <w:t>Обавезни (2)</w:t>
            </w:r>
          </w:p>
        </w:tc>
        <w:tc>
          <w:tcPr>
            <w:tcW w:w="5416" w:type="dxa"/>
            <w:tcBorders>
              <w:top w:val="single" w:sz="4" w:space="0" w:color="000000"/>
              <w:left w:val="single" w:sz="4" w:space="0" w:color="000000"/>
              <w:bottom w:val="nil"/>
              <w:right w:val="single" w:sz="4" w:space="0" w:color="000000"/>
            </w:tcBorders>
            <w:vAlign w:val="bottom"/>
          </w:tcPr>
          <w:p w:rsidR="001A50F2" w:rsidRPr="000B5234" w:rsidRDefault="001A50F2" w:rsidP="004453A7">
            <w:pPr>
              <w:widowControl w:val="0"/>
              <w:spacing w:after="0"/>
              <w:ind w:left="40"/>
              <w:rPr>
                <w:rFonts w:ascii="Times New Roman" w:hAnsi="Times New Roman" w:cs="Times New Roman"/>
                <w:noProof/>
                <w:sz w:val="24"/>
                <w:szCs w:val="24"/>
              </w:rPr>
            </w:pPr>
            <w:r w:rsidRPr="000B5234">
              <w:rPr>
                <w:rFonts w:ascii="Times New Roman" w:hAnsi="Times New Roman" w:cs="Times New Roman"/>
                <w:noProof/>
                <w:sz w:val="24"/>
                <w:szCs w:val="24"/>
              </w:rPr>
              <w:t>М11+М12+М13+М14+М21+М22+М23+М24+М31+М41+М42+М51</w:t>
            </w:r>
          </w:p>
        </w:tc>
        <w:tc>
          <w:tcPr>
            <w:tcW w:w="1263" w:type="dxa"/>
            <w:tcBorders>
              <w:top w:val="single" w:sz="4" w:space="0" w:color="000000"/>
              <w:left w:val="single" w:sz="4" w:space="0" w:color="000000"/>
              <w:bottom w:val="nil"/>
              <w:right w:val="single" w:sz="4" w:space="0" w:color="000000"/>
            </w:tcBorders>
            <w:vAlign w:val="center"/>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7</w:t>
            </w:r>
          </w:p>
        </w:tc>
        <w:tc>
          <w:tcPr>
            <w:tcW w:w="1220" w:type="dxa"/>
            <w:tcBorders>
              <w:top w:val="single" w:sz="4" w:space="0" w:color="000000"/>
              <w:left w:val="single" w:sz="4" w:space="0" w:color="000000"/>
              <w:bottom w:val="nil"/>
              <w:right w:val="single" w:sz="4" w:space="0" w:color="000000"/>
            </w:tcBorders>
            <w:vAlign w:val="center"/>
          </w:tcPr>
          <w:p w:rsidR="001A50F2" w:rsidRPr="000B5234" w:rsidRDefault="001A50F2" w:rsidP="004453A7">
            <w:pPr>
              <w:widowControl w:val="0"/>
              <w:spacing w:after="0"/>
              <w:jc w:val="center"/>
              <w:rPr>
                <w:rFonts w:ascii="Times New Roman" w:hAnsi="Times New Roman" w:cs="Times New Roman"/>
                <w:noProof/>
                <w:sz w:val="24"/>
                <w:szCs w:val="24"/>
              </w:rPr>
            </w:pPr>
            <w:r w:rsidRPr="000B5234">
              <w:rPr>
                <w:rFonts w:ascii="Times New Roman" w:hAnsi="Times New Roman" w:cs="Times New Roman"/>
                <w:noProof/>
                <w:sz w:val="24"/>
                <w:szCs w:val="24"/>
              </w:rPr>
              <w:t>12</w:t>
            </w:r>
          </w:p>
        </w:tc>
      </w:tr>
      <w:tr w:rsidR="001A50F2" w:rsidRPr="000B5234">
        <w:trPr>
          <w:cantSplit/>
          <w:trHeight w:val="226"/>
          <w:tblHeader/>
        </w:trPr>
        <w:tc>
          <w:tcPr>
            <w:tcW w:w="2050" w:type="dxa"/>
            <w:tcBorders>
              <w:top w:val="nil"/>
              <w:left w:val="single" w:sz="8" w:space="0" w:color="000000"/>
              <w:bottom w:val="single" w:sz="4" w:space="0" w:color="000000"/>
              <w:right w:val="single" w:sz="4" w:space="0" w:color="000000"/>
            </w:tcBorders>
          </w:tcPr>
          <w:p w:rsidR="001A50F2" w:rsidRPr="000B5234" w:rsidRDefault="001A50F2" w:rsidP="004453A7">
            <w:pPr>
              <w:spacing w:after="0"/>
              <w:rPr>
                <w:rFonts w:ascii="Times New Roman" w:hAnsi="Times New Roman" w:cs="Times New Roman"/>
                <w:noProof/>
              </w:rPr>
            </w:pPr>
          </w:p>
        </w:tc>
        <w:tc>
          <w:tcPr>
            <w:tcW w:w="5416" w:type="dxa"/>
            <w:tcBorders>
              <w:top w:val="nil"/>
              <w:left w:val="single" w:sz="4" w:space="0" w:color="000000"/>
              <w:bottom w:val="single" w:sz="4" w:space="0" w:color="000000"/>
              <w:right w:val="single" w:sz="4" w:space="0" w:color="000000"/>
            </w:tcBorders>
            <w:vAlign w:val="bottom"/>
          </w:tcPr>
          <w:p w:rsidR="001A50F2" w:rsidRPr="000B5234" w:rsidRDefault="001A50F2" w:rsidP="004453A7">
            <w:pPr>
              <w:widowControl w:val="0"/>
              <w:spacing w:after="0"/>
              <w:rPr>
                <w:rFonts w:ascii="Times New Roman" w:hAnsi="Times New Roman" w:cs="Times New Roman"/>
                <w:noProof/>
                <w:sz w:val="24"/>
                <w:szCs w:val="24"/>
              </w:rPr>
            </w:pPr>
          </w:p>
        </w:tc>
        <w:tc>
          <w:tcPr>
            <w:tcW w:w="1263" w:type="dxa"/>
            <w:tcBorders>
              <w:top w:val="nil"/>
              <w:left w:val="single" w:sz="4" w:space="0" w:color="000000"/>
              <w:bottom w:val="single" w:sz="4" w:space="0" w:color="000000"/>
              <w:right w:val="single" w:sz="4" w:space="0" w:color="000000"/>
            </w:tcBorders>
            <w:vAlign w:val="center"/>
          </w:tcPr>
          <w:p w:rsidR="001A50F2" w:rsidRPr="000B5234" w:rsidRDefault="001A50F2" w:rsidP="004453A7">
            <w:pPr>
              <w:widowControl w:val="0"/>
              <w:spacing w:after="0"/>
              <w:jc w:val="center"/>
              <w:rPr>
                <w:rFonts w:ascii="Times New Roman" w:hAnsi="Times New Roman" w:cs="Times New Roman"/>
                <w:noProof/>
                <w:sz w:val="24"/>
                <w:szCs w:val="24"/>
              </w:rPr>
            </w:pPr>
          </w:p>
        </w:tc>
        <w:tc>
          <w:tcPr>
            <w:tcW w:w="1220" w:type="dxa"/>
            <w:tcBorders>
              <w:top w:val="nil"/>
              <w:left w:val="single" w:sz="4" w:space="0" w:color="000000"/>
              <w:bottom w:val="single" w:sz="4" w:space="0" w:color="000000"/>
              <w:right w:val="single" w:sz="4" w:space="0" w:color="000000"/>
            </w:tcBorders>
            <w:vAlign w:val="center"/>
          </w:tcPr>
          <w:p w:rsidR="001A50F2" w:rsidRPr="000B5234" w:rsidRDefault="001A50F2" w:rsidP="004453A7">
            <w:pPr>
              <w:widowControl w:val="0"/>
              <w:spacing w:after="0"/>
              <w:rPr>
                <w:rFonts w:ascii="Times New Roman" w:hAnsi="Times New Roman" w:cs="Times New Roman"/>
                <w:noProof/>
                <w:sz w:val="24"/>
                <w:szCs w:val="24"/>
              </w:rPr>
            </w:pPr>
          </w:p>
        </w:tc>
      </w:tr>
      <w:tr w:rsidR="001A50F2" w:rsidRPr="000B5234">
        <w:trPr>
          <w:cantSplit/>
          <w:trHeight w:val="20"/>
          <w:tblHeader/>
        </w:trPr>
        <w:tc>
          <w:tcPr>
            <w:tcW w:w="2050" w:type="dxa"/>
            <w:tcBorders>
              <w:top w:val="single" w:sz="4" w:space="0" w:color="000000"/>
              <w:left w:val="single" w:sz="8" w:space="0" w:color="000000"/>
              <w:bottom w:val="nil"/>
              <w:right w:val="nil"/>
            </w:tcBorders>
            <w:shd w:val="clear" w:color="auto" w:fill="000000"/>
            <w:vAlign w:val="bottom"/>
          </w:tcPr>
          <w:p w:rsidR="001A50F2" w:rsidRPr="000B5234" w:rsidRDefault="001A50F2" w:rsidP="004453A7">
            <w:pPr>
              <w:widowControl w:val="0"/>
              <w:spacing w:after="0"/>
              <w:rPr>
                <w:rFonts w:ascii="Times New Roman" w:hAnsi="Times New Roman" w:cs="Times New Roman"/>
                <w:noProof/>
                <w:sz w:val="2"/>
                <w:szCs w:val="2"/>
              </w:rPr>
            </w:pPr>
          </w:p>
        </w:tc>
        <w:tc>
          <w:tcPr>
            <w:tcW w:w="5416" w:type="dxa"/>
            <w:tcBorders>
              <w:top w:val="single" w:sz="4" w:space="0" w:color="000000"/>
              <w:left w:val="nil"/>
              <w:bottom w:val="nil"/>
              <w:right w:val="nil"/>
            </w:tcBorders>
            <w:shd w:val="clear" w:color="auto" w:fill="000000"/>
            <w:vAlign w:val="bottom"/>
          </w:tcPr>
          <w:p w:rsidR="001A50F2" w:rsidRPr="000B5234" w:rsidRDefault="001A50F2" w:rsidP="004453A7">
            <w:pPr>
              <w:widowControl w:val="0"/>
              <w:spacing w:after="0"/>
              <w:rPr>
                <w:rFonts w:ascii="Times New Roman" w:hAnsi="Times New Roman" w:cs="Times New Roman"/>
                <w:noProof/>
                <w:sz w:val="2"/>
                <w:szCs w:val="2"/>
              </w:rPr>
            </w:pPr>
          </w:p>
        </w:tc>
        <w:tc>
          <w:tcPr>
            <w:tcW w:w="1263" w:type="dxa"/>
            <w:tcBorders>
              <w:top w:val="single" w:sz="4" w:space="0" w:color="000000"/>
              <w:left w:val="nil"/>
              <w:bottom w:val="nil"/>
              <w:right w:val="single" w:sz="8" w:space="0" w:color="000000"/>
            </w:tcBorders>
            <w:shd w:val="clear" w:color="auto" w:fill="000000"/>
            <w:vAlign w:val="bottom"/>
          </w:tcPr>
          <w:p w:rsidR="001A50F2" w:rsidRPr="000B5234" w:rsidRDefault="001A50F2" w:rsidP="004453A7">
            <w:pPr>
              <w:widowControl w:val="0"/>
              <w:spacing w:after="0"/>
              <w:rPr>
                <w:rFonts w:ascii="Times New Roman" w:hAnsi="Times New Roman" w:cs="Times New Roman"/>
                <w:noProof/>
                <w:sz w:val="2"/>
                <w:szCs w:val="2"/>
              </w:rPr>
            </w:pPr>
          </w:p>
        </w:tc>
        <w:tc>
          <w:tcPr>
            <w:tcW w:w="1220" w:type="dxa"/>
            <w:tcBorders>
              <w:top w:val="single" w:sz="4" w:space="0" w:color="000000"/>
              <w:left w:val="nil"/>
              <w:bottom w:val="nil"/>
              <w:right w:val="single" w:sz="8" w:space="0" w:color="000000"/>
            </w:tcBorders>
            <w:shd w:val="clear" w:color="auto" w:fill="000000"/>
            <w:vAlign w:val="bottom"/>
          </w:tcPr>
          <w:p w:rsidR="001A50F2" w:rsidRPr="000B5234" w:rsidRDefault="001A50F2" w:rsidP="004453A7">
            <w:pPr>
              <w:widowControl w:val="0"/>
              <w:spacing w:after="0"/>
              <w:rPr>
                <w:rFonts w:ascii="Times New Roman" w:hAnsi="Times New Roman" w:cs="Times New Roman"/>
                <w:noProof/>
                <w:sz w:val="2"/>
                <w:szCs w:val="2"/>
              </w:rPr>
            </w:pPr>
          </w:p>
        </w:tc>
      </w:tr>
    </w:tbl>
    <w:p w:rsidR="001A50F2" w:rsidRPr="009C7EED" w:rsidRDefault="001A50F2" w:rsidP="00CC6F9E">
      <w:pPr>
        <w:jc w:val="both"/>
        <w:rPr>
          <w:rFonts w:ascii="Times New Roman" w:hAnsi="Times New Roman" w:cs="Times New Roman"/>
          <w:b/>
          <w:bCs/>
          <w:i/>
          <w:iCs/>
          <w:noProof/>
          <w:sz w:val="24"/>
          <w:szCs w:val="24"/>
        </w:rPr>
      </w:pPr>
    </w:p>
    <w:p w:rsidR="001A50F2" w:rsidRPr="009C7EED" w:rsidRDefault="001A50F2" w:rsidP="00CC6F9E">
      <w:pPr>
        <w:rPr>
          <w:noProof/>
        </w:rPr>
      </w:pPr>
    </w:p>
    <w:p w:rsidR="001A50F2" w:rsidRPr="009C7EED" w:rsidRDefault="001A50F2" w:rsidP="00CC6F9E">
      <w:pPr>
        <w:jc w:val="both"/>
        <w:rPr>
          <w:rFonts w:ascii="Times New Roman" w:hAnsi="Times New Roman" w:cs="Times New Roman"/>
          <w:b/>
          <w:bCs/>
          <w:i/>
          <w:iCs/>
          <w:noProof/>
          <w:sz w:val="24"/>
          <w:szCs w:val="24"/>
        </w:rPr>
      </w:pPr>
      <w:r w:rsidRPr="009C7EED">
        <w:rPr>
          <w:rFonts w:ascii="Times New Roman" w:hAnsi="Times New Roman" w:cs="Times New Roman"/>
          <w:b/>
          <w:bCs/>
          <w:i/>
          <w:iCs/>
          <w:noProof/>
          <w:sz w:val="24"/>
          <w:szCs w:val="24"/>
        </w:rPr>
        <w:t>Анализа научних радова</w:t>
      </w:r>
    </w:p>
    <w:p w:rsidR="001A50F2" w:rsidRPr="0044401C" w:rsidRDefault="001A50F2" w:rsidP="00A87B53">
      <w:pPr>
        <w:jc w:val="both"/>
        <w:rPr>
          <w:rFonts w:ascii="Times New Roman" w:hAnsi="Times New Roman" w:cs="Times New Roman"/>
          <w:noProof/>
          <w:sz w:val="24"/>
          <w:szCs w:val="24"/>
        </w:rPr>
      </w:pPr>
      <w:r>
        <w:rPr>
          <w:rFonts w:ascii="Times New Roman" w:hAnsi="Times New Roman" w:cs="Times New Roman"/>
          <w:noProof/>
          <w:sz w:val="24"/>
          <w:szCs w:val="24"/>
        </w:rPr>
        <w:t xml:space="preserve">У раду „Болцанова теорија утемељивања“, објављеном у часопису </w:t>
      </w:r>
      <w:r>
        <w:rPr>
          <w:rFonts w:ascii="Times New Roman" w:hAnsi="Times New Roman" w:cs="Times New Roman"/>
          <w:i/>
          <w:iCs/>
          <w:noProof/>
          <w:sz w:val="24"/>
          <w:szCs w:val="24"/>
        </w:rPr>
        <w:t>Theoria</w:t>
      </w:r>
      <w:r>
        <w:rPr>
          <w:rFonts w:ascii="Times New Roman" w:hAnsi="Times New Roman" w:cs="Times New Roman"/>
          <w:noProof/>
          <w:sz w:val="24"/>
          <w:szCs w:val="24"/>
        </w:rPr>
        <w:t xml:space="preserve"> 2024. године,  Панајотов се бави схватањем појма утемељивања код Бернарда Болцана (Бернард Болзано). Кандидат то чини из перспективе савремених метафизичких позиција, с циљем да покаже у којој мери су Болцанова разматрања антиципирала многе савремене теорије утемељивања. Полазећи од темељне анализе Болцанове </w:t>
      </w:r>
      <w:r w:rsidRPr="00C84FA8">
        <w:rPr>
          <w:rFonts w:ascii="Times New Roman" w:hAnsi="Times New Roman" w:cs="Times New Roman"/>
          <w:i/>
          <w:iCs/>
          <w:noProof/>
          <w:sz w:val="24"/>
          <w:szCs w:val="24"/>
        </w:rPr>
        <w:t>Теорије науке</w:t>
      </w:r>
      <w:r>
        <w:rPr>
          <w:rFonts w:ascii="Times New Roman" w:hAnsi="Times New Roman" w:cs="Times New Roman"/>
          <w:noProof/>
          <w:sz w:val="24"/>
          <w:szCs w:val="24"/>
        </w:rPr>
        <w:t xml:space="preserve"> (</w:t>
      </w:r>
      <w:r w:rsidRPr="00C84FA8">
        <w:rPr>
          <w:rFonts w:ascii="Times New Roman" w:hAnsi="Times New Roman" w:cs="Times New Roman"/>
          <w:i/>
          <w:iCs/>
          <w:noProof/>
          <w:sz w:val="24"/>
          <w:szCs w:val="24"/>
        </w:rPr>
        <w:t>W</w:t>
      </w:r>
      <w:r>
        <w:rPr>
          <w:rFonts w:ascii="Times New Roman" w:hAnsi="Times New Roman" w:cs="Times New Roman"/>
          <w:i/>
          <w:iCs/>
          <w:noProof/>
          <w:sz w:val="24"/>
          <w:szCs w:val="24"/>
        </w:rPr>
        <w:t>issenschaftslehre</w:t>
      </w:r>
      <w:r>
        <w:rPr>
          <w:rFonts w:ascii="Times New Roman" w:hAnsi="Times New Roman" w:cs="Times New Roman"/>
          <w:noProof/>
          <w:sz w:val="24"/>
          <w:szCs w:val="24"/>
        </w:rPr>
        <w:t>) и релевантне секундарне литературе, Панајотов истиче да се код Болцана може пронаћи већина елемената стандардне слике утемељивања, каква се јавља  код најзначајнијих савремених теоретичара као што су Кит Фајн (Kit Fine), Џонатан Шефер (Jonathan Schaffer) и Гидеон Роузен (Gideon Rosen). Тезу о модерности Болцанових увида о утемељивању аутор брани указивањем на Болцанову претпоставку о примитивности појма утемељивања, начин на који он уводи овај појам, као и на његово разматрање формалних карактеристика и  примене тог појма. У каснијем делу рада, аутор разматра Болцанову теорију утемељивања у контексту историјско-филозофских расправа у погледу тога да ли је утемељивање стари или нови филозофски појам. Иако Панајотов сматра да утемељивање треба разумети као новији метафизички концепт, он аргументовано тврди да се Болцано може сматрати првим правим теоретичарeм утемељивања. То следи као закључак из ауторове тврдње да, иако су се питањима о утемељивању филозофи бавили током читаве историје филозофије, ниједан Болцанов претходник није изоловао утемељивање као засебан предмет испитивања нити антиципирао савремене расправе  о њему у оној мери у којој је то учинио Болцано.</w:t>
      </w:r>
    </w:p>
    <w:p w:rsidR="001A50F2" w:rsidRPr="008D67A2" w:rsidRDefault="001A50F2" w:rsidP="00BA6B7C">
      <w:pPr>
        <w:jc w:val="both"/>
        <w:rPr>
          <w:rFonts w:ascii="Times New Roman" w:hAnsi="Times New Roman" w:cs="Times New Roman"/>
          <w:noProof/>
          <w:sz w:val="24"/>
          <w:szCs w:val="24"/>
        </w:rPr>
      </w:pPr>
      <w:r>
        <w:rPr>
          <w:rFonts w:ascii="Times New Roman" w:hAnsi="Times New Roman" w:cs="Times New Roman"/>
          <w:noProof/>
          <w:sz w:val="24"/>
          <w:szCs w:val="24"/>
        </w:rPr>
        <w:t xml:space="preserve">У чланку „Три теорије јединства утемељивања“, објављеном у часопису </w:t>
      </w:r>
      <w:r>
        <w:rPr>
          <w:rFonts w:ascii="Times New Roman" w:hAnsi="Times New Roman" w:cs="Times New Roman"/>
          <w:i/>
          <w:iCs/>
          <w:noProof/>
          <w:sz w:val="24"/>
          <w:szCs w:val="24"/>
        </w:rPr>
        <w:t>Theoria</w:t>
      </w:r>
      <w:r>
        <w:rPr>
          <w:rFonts w:ascii="Times New Roman" w:hAnsi="Times New Roman" w:cs="Times New Roman"/>
          <w:noProof/>
          <w:sz w:val="24"/>
          <w:szCs w:val="24"/>
        </w:rPr>
        <w:t xml:space="preserve"> 2022. године, Милош Панајотов испитује различита схватања јединства појма утемељивања која су се развила под утицајем скептичких приговора. Прво схватање је сингуларизам: становиште по којем постоји највише једна метафизичка релација утемељивања; друго је генерализам: позиција која тврди да утемељивање треба тумачити као генерички појам; и треће је становиште по којем је утемељивање фамилија више релација утемељивања повезаних објективним сличностима. Сингуларистичку позицију аутор сматра најјачом теоријом јединства утемељивања, али указује на њену неплаузибилност, будући да она противречи општеприхваћеним уверењима о постојању специфичнијих релација онтолошке зависности које се међусобно по много чему разликују. Разматрајући генералистичко гледиште, Панајотов разликује његову јаку и умерену верзију. Јаки генерализам подразумева да постоји општи појам утемељивања који је метафизички „привилегован“ у односу на специфичне релације онтолошке зависности.  Аутор истиче да су приговори Џесике Вилсон (Jessica Wilson) примарно усмерени против ове позиције. Њени аргументи делом се односе и на умерени генерализам, према коме је утемељивање само општи појам за различите специфичније релације утемељивања. Вилсонова захтева од филозофа да јасно образложе шта може бити заједничко релацијама које се толико разликују. Посебну пажњу у раду аутор посвећује трећој опцији која је у литератури прошла недовољно запажено, а коју заступа Карен Бенет (Karen Bennett). Једна од предности овог схватања јесте у томе  што се јединство утемељивања не заснива на идеји да све специфичније релације морају имати идентична својства, већ на томе да су оне међусобно објективно сличне. Међутим, иако ово гледиште избегава одређене тешкоће претходних позиција,  Панајотов указује да би оно могло довести до инфлације различитих концепција утемељивања, па тако и до релативизације самог појма утемељивања.</w:t>
      </w:r>
    </w:p>
    <w:p w:rsidR="001A50F2" w:rsidRPr="00C94E23" w:rsidRDefault="001A50F2" w:rsidP="001176E3">
      <w:pPr>
        <w:jc w:val="both"/>
        <w:rPr>
          <w:rFonts w:ascii="Times New Roman" w:hAnsi="Times New Roman" w:cs="Times New Roman"/>
          <w:noProof/>
          <w:sz w:val="24"/>
          <w:szCs w:val="24"/>
        </w:rPr>
      </w:pPr>
      <w:r>
        <w:rPr>
          <w:rFonts w:ascii="Times New Roman" w:hAnsi="Times New Roman" w:cs="Times New Roman"/>
          <w:noProof/>
          <w:sz w:val="24"/>
          <w:szCs w:val="24"/>
        </w:rPr>
        <w:t xml:space="preserve">У раду „Дејлијева критика разумљивости појма утемељивања“, објављеном у часопису </w:t>
      </w:r>
      <w:r>
        <w:rPr>
          <w:rFonts w:ascii="Times New Roman" w:hAnsi="Times New Roman" w:cs="Times New Roman"/>
          <w:i/>
          <w:iCs/>
          <w:noProof/>
          <w:sz w:val="24"/>
          <w:szCs w:val="24"/>
        </w:rPr>
        <w:t>Theoria</w:t>
      </w:r>
      <w:r>
        <w:rPr>
          <w:rFonts w:ascii="Times New Roman" w:hAnsi="Times New Roman" w:cs="Times New Roman"/>
          <w:noProof/>
          <w:sz w:val="24"/>
          <w:szCs w:val="24"/>
        </w:rPr>
        <w:t xml:space="preserve"> 2021. године, Милош Панајотов критички разматра приговоре утемељивању које је изнео Крис Дејли (Chris Daly). Дејли је настојао да покаже да утемељивање није разумљив појам, тачније да ниједна од стандардних стратегија теоретичара утемељивања није успешно одредила садржај овог појма. Три стратегије се нарочито издвајају: 1) навођење логичких својстава, 2) разматрање односа утемељивања и других блиских појмова, и 3) навођење примера утемељивања. Анализирајући 1), Дејли сугерише да навођење формалних својстава не може једнозначно утврдити садржај појма утемељивања, али Панајотов указује да је то став и већине филозофа и да Дејли оптужује теоретичаре утемељивања за праксу која се код њих не може наћи. Панајотов указује и на слабост Дејлијевог приговора 2), истичући да Дејли искривљено тумачи „дефинишућу улогу“ утемељивања, и показује да имамо појмове који се могу одредити помоћу утемељивања а који су притом сами независно разумљиви. Разматрањем Дејлијевог приговора 3), аутор тврди да иако се навођењем примера не може у потпуности одредити садржај утемељивања, таква стратегија има функцију да на претеоријском нивоу покаже да  имамо довољно разлога да претпоставимо разумљивост таквог појма, па да стога не би требало извести закључак да је реч о некаквом семантички неприступачном појму. За разлику од Дејлија, Панајотов заступа став да је за разумљивост појма утемељивања најрелевантнија његова теоријска функција. У својим закључним разматрањима, аутор указује на то да се општи проблем Дејлијеве критике састоји у томе што он нема никакав критеријум разумљивости појма, што га наводи на то се ослони на идеју о „филозофској савести“ Нелсона Гудмана (Nelson Goodman), која нам, међутим, не омогућава да разликујемо субјективну и објективну (не)разумљивост неког појма.</w:t>
      </w:r>
    </w:p>
    <w:p w:rsidR="001A50F2" w:rsidRPr="001B787C" w:rsidRDefault="001A50F2" w:rsidP="00350A95">
      <w:pPr>
        <w:jc w:val="both"/>
        <w:rPr>
          <w:rFonts w:ascii="Times New Roman" w:hAnsi="Times New Roman" w:cs="Times New Roman"/>
          <w:noProof/>
          <w:sz w:val="24"/>
          <w:szCs w:val="24"/>
        </w:rPr>
      </w:pPr>
      <w:r>
        <w:rPr>
          <w:rFonts w:ascii="Times New Roman" w:hAnsi="Times New Roman" w:cs="Times New Roman"/>
          <w:noProof/>
          <w:sz w:val="24"/>
          <w:szCs w:val="24"/>
        </w:rPr>
        <w:t>Докторску дисертацију под насловом „Појам утемељивања у савременој метафизици“, Милош Панајотов је одбранио 27. августа 2024. године. Циљ његове дисертације јесте да изнесе  разлоге који показују да је појам утемељивања неопходан и користан метафизички појам. У првом поглављу дисертације, кандидат уводи појам утемељивања полазећи од стандардне слике утемељивања каква се среће у литератури и разматрајући његове формалне карактеристика. У другом поглављу, кандидат се бави развојем појма утемељивања у истакнутим историјским становиштима, као и у теоријама савремених филозофа који су увели утемељивање у актуелне метафизичке расправе. Панајотов разматра и питања о историји појма утемељивања, значају савремених теорија утемељивања за историју филозофије, као и о улози историјских разматрања у савременим дискусијама о утемељивању. У трећем и четвртом поглављу, аутор настоји да одговори на најважније скептичке приговоре који смерају да елиминишу појам утемељивања. Продубљујући резултате које је изнео у ранијем раду (2021), Панајотов одбацује све примедбе које указују на неразумљивост утемељивања. Нарочиту пажњу кандидат посвећује приговорима на основу редундантности утемељивања које је изнела Џесика Вилсон, показавши да део њеног скептичког приступа почива на погрешној интерпретацији теорија утемељивања. Осим тога, приликом одговарања на њене примедбе, аутор је аргументисао да ниједан од њених приговора није довољан да се изведу радикални елиминативистички закључци. Да би још јасније одговорио на скептичке изазове и указао на неопходност појма утемељивања, Панајотов се у петом поглављу бави примером примене утемељивања у метафизици науке. Позивајући се на принцип транзитивности који је формулисао Марк Ленг (Marc Lange), аутор истиче да нам тек примена овог појма омогућава да експлицирамо везу између научног и метафизичког објашњења. У закључним разматрањима аутор је резимирао претходно изнете резултате  и изнео мишљење да они сугеришу да плодну примена појма утемељивања треба очекивати у области метафизике науке.</w:t>
      </w:r>
    </w:p>
    <w:p w:rsidR="001A50F2" w:rsidRPr="00B36EAD" w:rsidRDefault="001A50F2" w:rsidP="00CC6F9E">
      <w:pPr>
        <w:rPr>
          <w:rFonts w:ascii="Times New Roman" w:hAnsi="Times New Roman" w:cs="Times New Roman"/>
          <w:noProof/>
          <w:sz w:val="24"/>
          <w:szCs w:val="24"/>
        </w:rPr>
      </w:pPr>
    </w:p>
    <w:p w:rsidR="001A50F2" w:rsidRPr="00B36EAD" w:rsidRDefault="001A50F2" w:rsidP="00B36EAD">
      <w:pPr>
        <w:jc w:val="both"/>
        <w:rPr>
          <w:rFonts w:ascii="Times New Roman" w:hAnsi="Times New Roman" w:cs="Times New Roman"/>
          <w:b/>
          <w:bCs/>
          <w:noProof/>
          <w:sz w:val="24"/>
          <w:szCs w:val="24"/>
        </w:rPr>
      </w:pPr>
      <w:r w:rsidRPr="00B36EAD">
        <w:rPr>
          <w:rFonts w:ascii="Times New Roman" w:hAnsi="Times New Roman" w:cs="Times New Roman"/>
          <w:b/>
          <w:bCs/>
          <w:noProof/>
          <w:sz w:val="24"/>
          <w:szCs w:val="24"/>
        </w:rPr>
        <w:t>Квалитативна оцена научног доприноса</w:t>
      </w:r>
    </w:p>
    <w:p w:rsidR="001A50F2" w:rsidRPr="00B36EAD" w:rsidRDefault="001A50F2" w:rsidP="00B36EAD">
      <w:pPr>
        <w:jc w:val="both"/>
        <w:rPr>
          <w:rFonts w:ascii="Times New Roman" w:hAnsi="Times New Roman" w:cs="Times New Roman"/>
          <w:b/>
          <w:bCs/>
          <w:i/>
          <w:iCs/>
          <w:noProof/>
          <w:sz w:val="24"/>
          <w:szCs w:val="24"/>
        </w:rPr>
      </w:pPr>
      <w:r w:rsidRPr="00B36EAD">
        <w:rPr>
          <w:rFonts w:ascii="Times New Roman" w:hAnsi="Times New Roman" w:cs="Times New Roman"/>
          <w:b/>
          <w:bCs/>
          <w:i/>
          <w:iCs/>
          <w:noProof/>
          <w:sz w:val="24"/>
          <w:szCs w:val="24"/>
        </w:rPr>
        <w:t>Допринос унапређењу научног и образовног рада</w:t>
      </w:r>
    </w:p>
    <w:p w:rsidR="001A50F2" w:rsidRPr="005777DF" w:rsidRDefault="001A50F2" w:rsidP="005777DF">
      <w:pPr>
        <w:jc w:val="both"/>
        <w:rPr>
          <w:rFonts w:ascii="Times New Roman" w:hAnsi="Times New Roman" w:cs="Times New Roman"/>
          <w:noProof/>
          <w:sz w:val="24"/>
          <w:szCs w:val="24"/>
        </w:rPr>
      </w:pPr>
      <w:r w:rsidRPr="005777DF">
        <w:rPr>
          <w:rFonts w:ascii="Times New Roman" w:hAnsi="Times New Roman" w:cs="Times New Roman"/>
          <w:noProof/>
          <w:sz w:val="24"/>
          <w:szCs w:val="24"/>
        </w:rPr>
        <w:t>-</w:t>
      </w:r>
      <w:r>
        <w:rPr>
          <w:rFonts w:ascii="Times New Roman" w:hAnsi="Times New Roman" w:cs="Times New Roman"/>
          <w:noProof/>
          <w:sz w:val="24"/>
          <w:szCs w:val="24"/>
        </w:rPr>
        <w:t xml:space="preserve"> </w:t>
      </w:r>
      <w:r w:rsidRPr="005777DF">
        <w:rPr>
          <w:rFonts w:ascii="Times New Roman" w:hAnsi="Times New Roman" w:cs="Times New Roman"/>
          <w:noProof/>
          <w:sz w:val="24"/>
          <w:szCs w:val="24"/>
        </w:rPr>
        <w:t>Др Панајотов је као координатор групе за метафизику на Институту за филозофију Филозофског факултета учествовао</w:t>
      </w:r>
      <w:r>
        <w:rPr>
          <w:rFonts w:ascii="Times New Roman" w:hAnsi="Times New Roman" w:cs="Times New Roman"/>
          <w:noProof/>
          <w:sz w:val="24"/>
          <w:szCs w:val="24"/>
        </w:rPr>
        <w:t>, заједно</w:t>
      </w:r>
      <w:r w:rsidRPr="005777DF">
        <w:rPr>
          <w:rFonts w:ascii="Times New Roman" w:hAnsi="Times New Roman" w:cs="Times New Roman"/>
          <w:noProof/>
          <w:sz w:val="24"/>
          <w:szCs w:val="24"/>
        </w:rPr>
        <w:t xml:space="preserve"> с координаторима других група, у различитим организационим активностима самог Института, као и рада саме групе за метафизику.</w:t>
      </w:r>
    </w:p>
    <w:p w:rsidR="001A50F2" w:rsidRDefault="001A50F2" w:rsidP="004622E5">
      <w:pPr>
        <w:jc w:val="both"/>
        <w:rPr>
          <w:rFonts w:ascii="Times New Roman" w:hAnsi="Times New Roman" w:cs="Times New Roman"/>
          <w:noProof/>
          <w:sz w:val="24"/>
          <w:szCs w:val="24"/>
        </w:rPr>
      </w:pPr>
      <w:r>
        <w:rPr>
          <w:rFonts w:ascii="Times New Roman" w:hAnsi="Times New Roman" w:cs="Times New Roman"/>
          <w:noProof/>
          <w:sz w:val="24"/>
          <w:szCs w:val="24"/>
        </w:rPr>
        <w:t>- У оквиру семинара Институту за филозофију Филозофског факултета одржао је два излагања: „Појам утемељивања у савременој филозофији“ и „Различита схватања јединства утемељивања“.</w:t>
      </w:r>
    </w:p>
    <w:p w:rsidR="001A50F2" w:rsidRPr="005E3D22" w:rsidRDefault="001A50F2" w:rsidP="004622E5">
      <w:pPr>
        <w:jc w:val="both"/>
        <w:rPr>
          <w:rFonts w:ascii="Times New Roman" w:hAnsi="Times New Roman" w:cs="Times New Roman"/>
          <w:noProof/>
          <w:sz w:val="24"/>
          <w:szCs w:val="24"/>
        </w:rPr>
      </w:pPr>
      <w:r>
        <w:rPr>
          <w:rFonts w:ascii="Times New Roman" w:hAnsi="Times New Roman" w:cs="Times New Roman"/>
          <w:noProof/>
          <w:sz w:val="24"/>
          <w:szCs w:val="24"/>
        </w:rPr>
        <w:t>- Током маја 2019. године, др Панајотов је учествовао</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 xml:space="preserve">на </w:t>
      </w:r>
      <w:r w:rsidRPr="009C7EED">
        <w:rPr>
          <w:rFonts w:ascii="Times New Roman" w:hAnsi="Times New Roman" w:cs="Times New Roman"/>
          <w:noProof/>
          <w:sz w:val="24"/>
          <w:szCs w:val="24"/>
        </w:rPr>
        <w:t xml:space="preserve">међународној конференцији </w:t>
      </w:r>
      <w:r>
        <w:rPr>
          <w:rFonts w:ascii="Times New Roman" w:hAnsi="Times New Roman" w:cs="Times New Roman"/>
          <w:i/>
          <w:iCs/>
          <w:noProof/>
          <w:sz w:val="24"/>
          <w:szCs w:val="24"/>
        </w:rPr>
        <w:t>Fourth</w:t>
      </w:r>
      <w:r w:rsidRPr="009C7EED">
        <w:rPr>
          <w:rFonts w:ascii="Times New Roman" w:hAnsi="Times New Roman" w:cs="Times New Roman"/>
          <w:i/>
          <w:iCs/>
          <w:noProof/>
          <w:sz w:val="24"/>
          <w:szCs w:val="24"/>
        </w:rPr>
        <w:t xml:space="preserve"> </w:t>
      </w:r>
      <w:r>
        <w:rPr>
          <w:rFonts w:ascii="Times New Roman" w:hAnsi="Times New Roman" w:cs="Times New Roman"/>
          <w:i/>
          <w:iCs/>
          <w:noProof/>
          <w:sz w:val="24"/>
          <w:szCs w:val="24"/>
        </w:rPr>
        <w:t>Belgrade</w:t>
      </w:r>
      <w:r w:rsidRPr="009C7EED">
        <w:rPr>
          <w:rFonts w:ascii="Times New Roman" w:hAnsi="Times New Roman" w:cs="Times New Roman"/>
          <w:i/>
          <w:iCs/>
          <w:noProof/>
          <w:sz w:val="24"/>
          <w:szCs w:val="24"/>
        </w:rPr>
        <w:t xml:space="preserve"> </w:t>
      </w:r>
      <w:r>
        <w:rPr>
          <w:rFonts w:ascii="Times New Roman" w:hAnsi="Times New Roman" w:cs="Times New Roman"/>
          <w:i/>
          <w:iCs/>
          <w:noProof/>
          <w:sz w:val="24"/>
          <w:szCs w:val="24"/>
        </w:rPr>
        <w:t>Graduate</w:t>
      </w:r>
      <w:r w:rsidRPr="009C7EED">
        <w:rPr>
          <w:rFonts w:ascii="Times New Roman" w:hAnsi="Times New Roman" w:cs="Times New Roman"/>
          <w:i/>
          <w:iCs/>
          <w:noProof/>
          <w:sz w:val="24"/>
          <w:szCs w:val="24"/>
        </w:rPr>
        <w:t xml:space="preserve"> </w:t>
      </w:r>
      <w:r>
        <w:rPr>
          <w:rFonts w:ascii="Times New Roman" w:hAnsi="Times New Roman" w:cs="Times New Roman"/>
          <w:i/>
          <w:iCs/>
          <w:noProof/>
          <w:sz w:val="24"/>
          <w:szCs w:val="24"/>
        </w:rPr>
        <w:t>Conference</w:t>
      </w:r>
      <w:r w:rsidRPr="009C7EED">
        <w:rPr>
          <w:rFonts w:ascii="Times New Roman" w:hAnsi="Times New Roman" w:cs="Times New Roman"/>
          <w:i/>
          <w:iCs/>
          <w:noProof/>
          <w:sz w:val="24"/>
          <w:szCs w:val="24"/>
        </w:rPr>
        <w:t xml:space="preserve"> </w:t>
      </w:r>
      <w:r>
        <w:rPr>
          <w:rFonts w:ascii="Times New Roman" w:hAnsi="Times New Roman" w:cs="Times New Roman"/>
          <w:i/>
          <w:iCs/>
          <w:noProof/>
          <w:sz w:val="24"/>
          <w:szCs w:val="24"/>
        </w:rPr>
        <w:t>in</w:t>
      </w:r>
      <w:r w:rsidRPr="009C7EED">
        <w:rPr>
          <w:rFonts w:ascii="Times New Roman" w:hAnsi="Times New Roman" w:cs="Times New Roman"/>
          <w:i/>
          <w:iCs/>
          <w:noProof/>
          <w:sz w:val="24"/>
          <w:szCs w:val="24"/>
        </w:rPr>
        <w:t xml:space="preserve"> </w:t>
      </w:r>
      <w:r>
        <w:rPr>
          <w:rFonts w:ascii="Times New Roman" w:hAnsi="Times New Roman" w:cs="Times New Roman"/>
          <w:i/>
          <w:iCs/>
          <w:noProof/>
          <w:sz w:val="24"/>
          <w:szCs w:val="24"/>
        </w:rPr>
        <w:t>Philosoph</w:t>
      </w:r>
      <w:r w:rsidRPr="009C7EED">
        <w:rPr>
          <w:rFonts w:ascii="Times New Roman" w:hAnsi="Times New Roman" w:cs="Times New Roman"/>
          <w:i/>
          <w:iCs/>
          <w:noProof/>
          <w:sz w:val="24"/>
          <w:szCs w:val="24"/>
        </w:rPr>
        <w:t xml:space="preserve">y </w:t>
      </w:r>
      <w:r w:rsidRPr="009C7EED">
        <w:rPr>
          <w:rFonts w:ascii="Times New Roman" w:hAnsi="Times New Roman" w:cs="Times New Roman"/>
          <w:noProof/>
          <w:sz w:val="24"/>
          <w:szCs w:val="24"/>
        </w:rPr>
        <w:t xml:space="preserve">одржаној у Београду, </w:t>
      </w:r>
      <w:r>
        <w:rPr>
          <w:rFonts w:ascii="Times New Roman" w:hAnsi="Times New Roman" w:cs="Times New Roman"/>
          <w:noProof/>
          <w:sz w:val="24"/>
          <w:szCs w:val="24"/>
        </w:rPr>
        <w:t xml:space="preserve">на којој је имао излагање </w:t>
      </w:r>
      <w:r>
        <w:rPr>
          <w:rFonts w:ascii="Times New Roman" w:hAnsi="Times New Roman" w:cs="Times New Roman"/>
          <w:noProof/>
          <w:sz w:val="24"/>
          <w:szCs w:val="24"/>
          <w:lang w:val="en-GB"/>
        </w:rPr>
        <w:t>“</w:t>
      </w:r>
      <w:r>
        <w:rPr>
          <w:rFonts w:ascii="Times New Roman" w:hAnsi="Times New Roman" w:cs="Times New Roman"/>
          <w:noProof/>
          <w:sz w:val="24"/>
          <w:szCs w:val="24"/>
        </w:rPr>
        <w:t>On</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Dasgupta</w:t>
      </w:r>
      <w:r w:rsidRPr="009C7EED">
        <w:rPr>
          <w:rFonts w:ascii="Times New Roman" w:hAnsi="Times New Roman" w:cs="Times New Roman"/>
          <w:noProof/>
          <w:sz w:val="24"/>
          <w:szCs w:val="24"/>
        </w:rPr>
        <w:t>'</w:t>
      </w:r>
      <w:r>
        <w:rPr>
          <w:rFonts w:ascii="Times New Roman" w:hAnsi="Times New Roman" w:cs="Times New Roman"/>
          <w:noProof/>
          <w:sz w:val="24"/>
          <w:szCs w:val="24"/>
        </w:rPr>
        <w:t>s</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deflationar</w:t>
      </w:r>
      <w:r w:rsidRPr="009C7EED">
        <w:rPr>
          <w:rFonts w:ascii="Times New Roman" w:hAnsi="Times New Roman" w:cs="Times New Roman"/>
          <w:noProof/>
          <w:sz w:val="24"/>
          <w:szCs w:val="24"/>
        </w:rPr>
        <w:t xml:space="preserve">y </w:t>
      </w:r>
      <w:r>
        <w:rPr>
          <w:rFonts w:ascii="Times New Roman" w:hAnsi="Times New Roman" w:cs="Times New Roman"/>
          <w:noProof/>
          <w:sz w:val="24"/>
          <w:szCs w:val="24"/>
        </w:rPr>
        <w:t>conception</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of</w:t>
      </w:r>
      <w:r w:rsidRPr="009C7EED">
        <w:rPr>
          <w:rFonts w:ascii="Times New Roman" w:hAnsi="Times New Roman" w:cs="Times New Roman"/>
          <w:noProof/>
          <w:sz w:val="24"/>
          <w:szCs w:val="24"/>
        </w:rPr>
        <w:t xml:space="preserve"> </w:t>
      </w:r>
      <w:r>
        <w:rPr>
          <w:rFonts w:ascii="Times New Roman" w:hAnsi="Times New Roman" w:cs="Times New Roman"/>
          <w:noProof/>
          <w:sz w:val="24"/>
          <w:szCs w:val="24"/>
        </w:rPr>
        <w:t>grounding</w:t>
      </w:r>
      <w:r>
        <w:rPr>
          <w:rFonts w:ascii="Times New Roman" w:hAnsi="Times New Roman" w:cs="Times New Roman"/>
          <w:noProof/>
          <w:sz w:val="24"/>
          <w:szCs w:val="24"/>
          <w:lang w:val="en-GB"/>
        </w:rPr>
        <w:t>”</w:t>
      </w:r>
      <w:r>
        <w:rPr>
          <w:rFonts w:ascii="Times New Roman" w:hAnsi="Times New Roman" w:cs="Times New Roman"/>
          <w:noProof/>
          <w:sz w:val="24"/>
          <w:szCs w:val="24"/>
        </w:rPr>
        <w:t>.</w:t>
      </w:r>
    </w:p>
    <w:p w:rsidR="001A50F2" w:rsidRPr="005777DF" w:rsidRDefault="001A50F2" w:rsidP="004622E5">
      <w:pPr>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5777DF">
        <w:rPr>
          <w:rFonts w:ascii="Times New Roman" w:hAnsi="Times New Roman" w:cs="Times New Roman"/>
          <w:noProof/>
          <w:sz w:val="24"/>
          <w:szCs w:val="24"/>
        </w:rPr>
        <w:t xml:space="preserve">Радови др Панајотова представљају оригинални допринос у области </w:t>
      </w:r>
      <w:r>
        <w:rPr>
          <w:rFonts w:ascii="Times New Roman" w:hAnsi="Times New Roman" w:cs="Times New Roman"/>
          <w:noProof/>
          <w:sz w:val="24"/>
          <w:szCs w:val="24"/>
        </w:rPr>
        <w:t>савремене метафизике</w:t>
      </w:r>
      <w:r w:rsidRPr="005777DF">
        <w:rPr>
          <w:rFonts w:ascii="Times New Roman" w:hAnsi="Times New Roman" w:cs="Times New Roman"/>
          <w:noProof/>
          <w:sz w:val="24"/>
          <w:szCs w:val="24"/>
        </w:rPr>
        <w:t xml:space="preserve">, </w:t>
      </w:r>
      <w:r>
        <w:rPr>
          <w:rFonts w:ascii="Times New Roman" w:hAnsi="Times New Roman" w:cs="Times New Roman"/>
          <w:noProof/>
          <w:sz w:val="24"/>
          <w:szCs w:val="24"/>
        </w:rPr>
        <w:t>а теме о којима је  писао врло су актуелне и предмет су бројних расправа међу савременим филозофима. Сви његови радови написани су самостално, односно без коаутора.</w:t>
      </w:r>
    </w:p>
    <w:p w:rsidR="001A50F2" w:rsidRPr="009C7EED" w:rsidRDefault="001A50F2" w:rsidP="00E32F3E">
      <w:pPr>
        <w:rPr>
          <w:noProof/>
        </w:rPr>
      </w:pPr>
    </w:p>
    <w:p w:rsidR="001A50F2" w:rsidRPr="009C7EED" w:rsidRDefault="001A50F2" w:rsidP="009C7EED">
      <w:pPr>
        <w:jc w:val="both"/>
        <w:rPr>
          <w:rFonts w:ascii="Times New Roman" w:hAnsi="Times New Roman" w:cs="Times New Roman"/>
          <w:b/>
          <w:bCs/>
          <w:noProof/>
          <w:sz w:val="24"/>
          <w:szCs w:val="24"/>
        </w:rPr>
      </w:pPr>
      <w:r w:rsidRPr="009C7EED">
        <w:rPr>
          <w:rFonts w:ascii="Times New Roman" w:hAnsi="Times New Roman" w:cs="Times New Roman"/>
          <w:b/>
          <w:bCs/>
          <w:noProof/>
          <w:sz w:val="24"/>
          <w:szCs w:val="24"/>
        </w:rPr>
        <w:t>Закључак: оцена комисије о научном доприносу кандидата са образложењем</w:t>
      </w:r>
    </w:p>
    <w:p w:rsidR="001A50F2" w:rsidRPr="009C7EED" w:rsidRDefault="001A50F2" w:rsidP="009C7EED">
      <w:pPr>
        <w:jc w:val="both"/>
        <w:rPr>
          <w:rFonts w:ascii="Times New Roman" w:hAnsi="Times New Roman" w:cs="Times New Roman"/>
          <w:b/>
          <w:bCs/>
          <w:noProof/>
          <w:sz w:val="24"/>
          <w:szCs w:val="24"/>
        </w:rPr>
      </w:pPr>
    </w:p>
    <w:p w:rsidR="001A50F2" w:rsidRPr="009C7EED" w:rsidRDefault="001A50F2" w:rsidP="009C7EED">
      <w:pPr>
        <w:jc w:val="both"/>
        <w:rPr>
          <w:rFonts w:ascii="Times New Roman" w:hAnsi="Times New Roman" w:cs="Times New Roman"/>
          <w:noProof/>
          <w:sz w:val="24"/>
          <w:szCs w:val="24"/>
        </w:rPr>
      </w:pPr>
      <w:r w:rsidRPr="009C7EED">
        <w:rPr>
          <w:rFonts w:ascii="Times New Roman" w:hAnsi="Times New Roman" w:cs="Times New Roman"/>
          <w:noProof/>
          <w:sz w:val="24"/>
          <w:szCs w:val="24"/>
        </w:rPr>
        <w:t xml:space="preserve">На основу увида у приложену документацију и анализе публикација, Комисија је утврдила да </w:t>
      </w:r>
      <w:r>
        <w:rPr>
          <w:rFonts w:ascii="Times New Roman" w:hAnsi="Times New Roman" w:cs="Times New Roman"/>
          <w:noProof/>
          <w:sz w:val="24"/>
          <w:szCs w:val="24"/>
        </w:rPr>
        <w:t xml:space="preserve">др </w:t>
      </w:r>
      <w:r w:rsidRPr="009C7EED">
        <w:rPr>
          <w:rFonts w:ascii="Times New Roman" w:hAnsi="Times New Roman" w:cs="Times New Roman"/>
          <w:noProof/>
          <w:sz w:val="24"/>
          <w:szCs w:val="24"/>
        </w:rPr>
        <w:t xml:space="preserve">Милош Панајотов испуњава све квантитативне и квалитативне услове који су прописани за избор у звање научног сарадника. </w:t>
      </w:r>
    </w:p>
    <w:p w:rsidR="001A50F2" w:rsidRPr="009C7EED" w:rsidRDefault="001A50F2" w:rsidP="009C7EED">
      <w:pPr>
        <w:jc w:val="both"/>
        <w:rPr>
          <w:rFonts w:ascii="Times New Roman" w:hAnsi="Times New Roman" w:cs="Times New Roman"/>
          <w:noProof/>
          <w:sz w:val="24"/>
          <w:szCs w:val="24"/>
        </w:rPr>
      </w:pPr>
      <w:r w:rsidRPr="009C7EED">
        <w:rPr>
          <w:rFonts w:ascii="Times New Roman" w:hAnsi="Times New Roman" w:cs="Times New Roman"/>
          <w:noProof/>
          <w:sz w:val="24"/>
          <w:szCs w:val="24"/>
        </w:rPr>
        <w:t xml:space="preserve">Имајући у виду постигнуте резултате кандидата, Комисија са задовољством предлаже избор др Милоша Панајотова у звање НАУЧНИ САРАДНИК за научну област </w:t>
      </w:r>
      <w:r w:rsidRPr="00D977E2">
        <w:rPr>
          <w:rFonts w:ascii="Times New Roman" w:hAnsi="Times New Roman" w:cs="Times New Roman"/>
          <w:i/>
          <w:iCs/>
          <w:noProof/>
          <w:sz w:val="24"/>
          <w:szCs w:val="24"/>
        </w:rPr>
        <w:t>Филозофија</w:t>
      </w:r>
      <w:r w:rsidRPr="009C7EED">
        <w:rPr>
          <w:rFonts w:ascii="Times New Roman" w:hAnsi="Times New Roman" w:cs="Times New Roman"/>
          <w:noProof/>
          <w:sz w:val="24"/>
          <w:szCs w:val="24"/>
        </w:rPr>
        <w:t xml:space="preserve"> у области друштвено-хуманистичких наука.</w:t>
      </w:r>
    </w:p>
    <w:p w:rsidR="001A50F2" w:rsidRPr="009C7EED" w:rsidRDefault="001A50F2">
      <w:pPr>
        <w:rPr>
          <w:rFonts w:ascii="Times New Roman" w:hAnsi="Times New Roman" w:cs="Times New Roman"/>
          <w:noProof/>
          <w:sz w:val="24"/>
          <w:szCs w:val="24"/>
        </w:rPr>
      </w:pPr>
      <w:r w:rsidRPr="009C7EED">
        <w:rPr>
          <w:rFonts w:ascii="Times New Roman" w:hAnsi="Times New Roman" w:cs="Times New Roman"/>
          <w:noProof/>
          <w:sz w:val="24"/>
          <w:szCs w:val="24"/>
        </w:rPr>
        <w:br w:type="page"/>
      </w:r>
    </w:p>
    <w:p w:rsidR="001A50F2" w:rsidRPr="009C7EED" w:rsidRDefault="001A50F2" w:rsidP="009C7EED">
      <w:pPr>
        <w:jc w:val="both"/>
        <w:rPr>
          <w:rFonts w:ascii="Times New Roman" w:hAnsi="Times New Roman" w:cs="Times New Roman"/>
          <w:noProof/>
          <w:sz w:val="24"/>
          <w:szCs w:val="24"/>
        </w:rPr>
      </w:pPr>
      <w:r w:rsidRPr="009C7EED">
        <w:rPr>
          <w:rFonts w:ascii="Times New Roman" w:hAnsi="Times New Roman" w:cs="Times New Roman"/>
          <w:noProof/>
          <w:sz w:val="24"/>
          <w:szCs w:val="24"/>
        </w:rPr>
        <w:t>У Београду,</w:t>
      </w:r>
      <w:r>
        <w:rPr>
          <w:rFonts w:ascii="Times New Roman" w:hAnsi="Times New Roman" w:cs="Times New Roman"/>
          <w:noProof/>
          <w:sz w:val="24"/>
          <w:szCs w:val="24"/>
        </w:rPr>
        <w:t xml:space="preserve"> 23</w:t>
      </w:r>
      <w:r w:rsidRPr="00C05A90">
        <w:rPr>
          <w:rFonts w:ascii="Times New Roman" w:hAnsi="Times New Roman" w:cs="Times New Roman"/>
          <w:noProof/>
          <w:sz w:val="24"/>
          <w:szCs w:val="24"/>
        </w:rPr>
        <w:t>.09.2024.</w:t>
      </w:r>
    </w:p>
    <w:p w:rsidR="001A50F2" w:rsidRPr="009C7EED" w:rsidRDefault="001A50F2" w:rsidP="009C7EED">
      <w:pPr>
        <w:jc w:val="both"/>
        <w:rPr>
          <w:rFonts w:ascii="Times New Roman" w:hAnsi="Times New Roman" w:cs="Times New Roman"/>
          <w:noProof/>
          <w:sz w:val="24"/>
          <w:szCs w:val="24"/>
        </w:rPr>
      </w:pPr>
    </w:p>
    <w:p w:rsidR="001A50F2" w:rsidRDefault="001A50F2" w:rsidP="009C7EED">
      <w:pPr>
        <w:jc w:val="right"/>
        <w:rPr>
          <w:rFonts w:ascii="Times New Roman" w:hAnsi="Times New Roman" w:cs="Times New Roman"/>
          <w:noProof/>
          <w:sz w:val="24"/>
          <w:szCs w:val="24"/>
        </w:rPr>
      </w:pPr>
      <w:r w:rsidRPr="009C7EED">
        <w:rPr>
          <w:rFonts w:ascii="Times New Roman" w:hAnsi="Times New Roman" w:cs="Times New Roman"/>
          <w:noProof/>
          <w:sz w:val="24"/>
          <w:szCs w:val="24"/>
        </w:rPr>
        <w:t>Чланови комисије</w:t>
      </w:r>
      <w:r>
        <w:rPr>
          <w:rFonts w:ascii="Times New Roman" w:hAnsi="Times New Roman" w:cs="Times New Roman"/>
          <w:noProof/>
          <w:sz w:val="24"/>
          <w:szCs w:val="24"/>
        </w:rPr>
        <w:t>:</w:t>
      </w:r>
    </w:p>
    <w:p w:rsidR="001A50F2" w:rsidRPr="005E3D22" w:rsidRDefault="001A50F2" w:rsidP="009C7EED">
      <w:pPr>
        <w:jc w:val="right"/>
        <w:rPr>
          <w:rFonts w:ascii="Times New Roman" w:hAnsi="Times New Roman" w:cs="Times New Roman"/>
          <w:noProof/>
          <w:sz w:val="24"/>
          <w:szCs w:val="24"/>
        </w:rPr>
      </w:pPr>
    </w:p>
    <w:p w:rsidR="001A50F2" w:rsidRDefault="001A50F2" w:rsidP="00E32F3E">
      <w:pPr>
        <w:rPr>
          <w:noProof/>
        </w:rPr>
      </w:pPr>
    </w:p>
    <w:p w:rsidR="001A50F2" w:rsidRPr="009C7EED" w:rsidRDefault="001A50F2" w:rsidP="00E32F3E">
      <w:pPr>
        <w:rPr>
          <w:noProof/>
        </w:rPr>
      </w:pPr>
    </w:p>
    <w:p w:rsidR="001A50F2" w:rsidRPr="009C7EED" w:rsidRDefault="001A50F2" w:rsidP="009C7EED">
      <w:pPr>
        <w:spacing w:before="240"/>
        <w:jc w:val="right"/>
        <w:rPr>
          <w:rFonts w:ascii="Times New Roman" w:hAnsi="Times New Roman" w:cs="Times New Roman"/>
          <w:noProof/>
          <w:sz w:val="24"/>
          <w:szCs w:val="24"/>
        </w:rPr>
      </w:pPr>
      <w:r w:rsidRPr="009C7EED">
        <w:rPr>
          <w:rFonts w:ascii="Times New Roman" w:hAnsi="Times New Roman" w:cs="Times New Roman"/>
          <w:noProof/>
          <w:sz w:val="24"/>
          <w:szCs w:val="24"/>
        </w:rPr>
        <w:t>др Андреј Јандрић, доцент</w:t>
      </w:r>
    </w:p>
    <w:p w:rsidR="001A50F2" w:rsidRPr="009C7EED" w:rsidRDefault="001A50F2" w:rsidP="009C7EED">
      <w:pPr>
        <w:spacing w:before="240"/>
        <w:jc w:val="right"/>
        <w:rPr>
          <w:rFonts w:ascii="Times New Roman" w:hAnsi="Times New Roman" w:cs="Times New Roman"/>
          <w:noProof/>
          <w:sz w:val="24"/>
          <w:szCs w:val="24"/>
        </w:rPr>
      </w:pPr>
      <w:r w:rsidRPr="009C7EED">
        <w:rPr>
          <w:rFonts w:ascii="Times New Roman" w:hAnsi="Times New Roman" w:cs="Times New Roman"/>
          <w:noProof/>
          <w:sz w:val="24"/>
          <w:szCs w:val="24"/>
        </w:rPr>
        <w:t>Филозофски факултет Универзитета у Београду</w:t>
      </w:r>
    </w:p>
    <w:p w:rsidR="001A50F2" w:rsidRPr="009C7EED" w:rsidRDefault="001A50F2" w:rsidP="009C7EED">
      <w:pPr>
        <w:jc w:val="right"/>
        <w:rPr>
          <w:noProof/>
        </w:rPr>
      </w:pPr>
    </w:p>
    <w:p w:rsidR="001A50F2" w:rsidRDefault="001A50F2" w:rsidP="009C7EED">
      <w:pPr>
        <w:jc w:val="right"/>
        <w:rPr>
          <w:noProof/>
        </w:rPr>
      </w:pPr>
    </w:p>
    <w:p w:rsidR="001A50F2" w:rsidRPr="009C7EED" w:rsidRDefault="001A50F2" w:rsidP="009C7EED">
      <w:pPr>
        <w:jc w:val="right"/>
        <w:rPr>
          <w:noProof/>
        </w:rPr>
      </w:pPr>
    </w:p>
    <w:p w:rsidR="001A50F2" w:rsidRPr="009C7EED" w:rsidRDefault="001A50F2" w:rsidP="009C7EED">
      <w:pPr>
        <w:spacing w:before="240"/>
        <w:jc w:val="right"/>
        <w:rPr>
          <w:rFonts w:ascii="Times New Roman" w:hAnsi="Times New Roman" w:cs="Times New Roman"/>
          <w:noProof/>
          <w:sz w:val="24"/>
          <w:szCs w:val="24"/>
        </w:rPr>
      </w:pPr>
      <w:r w:rsidRPr="009C7EED">
        <w:rPr>
          <w:rFonts w:ascii="Times New Roman" w:hAnsi="Times New Roman" w:cs="Times New Roman"/>
          <w:noProof/>
          <w:sz w:val="24"/>
          <w:szCs w:val="24"/>
        </w:rPr>
        <w:t>др Радмила Јовановић Козловски, доцент</w:t>
      </w:r>
    </w:p>
    <w:p w:rsidR="001A50F2" w:rsidRPr="009C7EED" w:rsidRDefault="001A50F2" w:rsidP="009C7EED">
      <w:pPr>
        <w:spacing w:before="240"/>
        <w:jc w:val="right"/>
        <w:rPr>
          <w:rFonts w:ascii="Times New Roman" w:hAnsi="Times New Roman" w:cs="Times New Roman"/>
          <w:noProof/>
          <w:sz w:val="24"/>
          <w:szCs w:val="24"/>
        </w:rPr>
      </w:pPr>
      <w:r w:rsidRPr="009C7EED">
        <w:rPr>
          <w:rFonts w:ascii="Times New Roman" w:hAnsi="Times New Roman" w:cs="Times New Roman"/>
          <w:noProof/>
          <w:sz w:val="24"/>
          <w:szCs w:val="24"/>
        </w:rPr>
        <w:t>Филозофски факултет Универзитета у Београду</w:t>
      </w:r>
    </w:p>
    <w:p w:rsidR="001A50F2" w:rsidRDefault="001A50F2" w:rsidP="009C7EED">
      <w:pPr>
        <w:jc w:val="right"/>
        <w:rPr>
          <w:noProof/>
        </w:rPr>
      </w:pPr>
    </w:p>
    <w:p w:rsidR="001A50F2" w:rsidRPr="009C7EED" w:rsidRDefault="001A50F2" w:rsidP="009C7EED">
      <w:pPr>
        <w:jc w:val="right"/>
        <w:rPr>
          <w:noProof/>
        </w:rPr>
      </w:pPr>
    </w:p>
    <w:p w:rsidR="001A50F2" w:rsidRPr="009C7EED" w:rsidRDefault="001A50F2" w:rsidP="00740971">
      <w:pPr>
        <w:jc w:val="center"/>
        <w:rPr>
          <w:noProof/>
        </w:rPr>
      </w:pPr>
    </w:p>
    <w:p w:rsidR="001A50F2" w:rsidRPr="009C7EED" w:rsidRDefault="001A50F2" w:rsidP="009C7EED">
      <w:pPr>
        <w:spacing w:before="240"/>
        <w:jc w:val="right"/>
        <w:rPr>
          <w:rFonts w:ascii="Times New Roman" w:hAnsi="Times New Roman" w:cs="Times New Roman"/>
          <w:noProof/>
          <w:sz w:val="24"/>
          <w:szCs w:val="24"/>
        </w:rPr>
      </w:pPr>
      <w:r w:rsidRPr="009C7EED">
        <w:rPr>
          <w:rFonts w:ascii="Times New Roman" w:hAnsi="Times New Roman" w:cs="Times New Roman"/>
          <w:noProof/>
          <w:sz w:val="24"/>
          <w:szCs w:val="24"/>
        </w:rPr>
        <w:t>др Инес Скелац, доцент</w:t>
      </w:r>
    </w:p>
    <w:p w:rsidR="001A50F2" w:rsidRPr="009C7EED" w:rsidRDefault="001A50F2" w:rsidP="009C7EED">
      <w:pPr>
        <w:spacing w:before="240"/>
        <w:jc w:val="right"/>
        <w:rPr>
          <w:rFonts w:ascii="Times New Roman" w:hAnsi="Times New Roman" w:cs="Times New Roman"/>
          <w:noProof/>
          <w:sz w:val="24"/>
          <w:szCs w:val="24"/>
        </w:rPr>
      </w:pPr>
      <w:r w:rsidRPr="009C7EED">
        <w:rPr>
          <w:rFonts w:ascii="Times New Roman" w:hAnsi="Times New Roman" w:cs="Times New Roman"/>
          <w:noProof/>
          <w:sz w:val="24"/>
          <w:szCs w:val="24"/>
        </w:rPr>
        <w:t xml:space="preserve">Факултет </w:t>
      </w:r>
      <w:r>
        <w:rPr>
          <w:rFonts w:ascii="Times New Roman" w:hAnsi="Times New Roman" w:cs="Times New Roman"/>
          <w:noProof/>
          <w:sz w:val="24"/>
          <w:szCs w:val="24"/>
        </w:rPr>
        <w:t>филозофије</w:t>
      </w:r>
      <w:r w:rsidRPr="009C7EED">
        <w:rPr>
          <w:rFonts w:ascii="Times New Roman" w:hAnsi="Times New Roman" w:cs="Times New Roman"/>
          <w:noProof/>
          <w:sz w:val="24"/>
          <w:szCs w:val="24"/>
        </w:rPr>
        <w:t xml:space="preserve"> и религијске знаности Свеучилишта у Загребу</w:t>
      </w:r>
    </w:p>
    <w:p w:rsidR="001A50F2" w:rsidRPr="009C7EED" w:rsidRDefault="001A50F2" w:rsidP="009C7EED">
      <w:pPr>
        <w:jc w:val="right"/>
        <w:rPr>
          <w:noProof/>
        </w:rPr>
      </w:pPr>
    </w:p>
    <w:sectPr w:rsidR="001A50F2" w:rsidRPr="009C7EED" w:rsidSect="0059689A">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0F2" w:rsidRDefault="001A50F2" w:rsidP="006C24F1">
      <w:pPr>
        <w:spacing w:after="0" w:line="240" w:lineRule="auto"/>
      </w:pPr>
      <w:r>
        <w:separator/>
      </w:r>
    </w:p>
  </w:endnote>
  <w:endnote w:type="continuationSeparator" w:id="1">
    <w:p w:rsidR="001A50F2" w:rsidRDefault="001A50F2" w:rsidP="006C2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0F2" w:rsidRDefault="001A50F2">
    <w:pPr>
      <w:pStyle w:val="Footer"/>
      <w:jc w:val="right"/>
    </w:pPr>
    <w:fldSimple w:instr=" PAGE   \* MERGEFORMAT ">
      <w:r>
        <w:rPr>
          <w:noProof/>
        </w:rPr>
        <w:t>1</w:t>
      </w:r>
    </w:fldSimple>
  </w:p>
  <w:p w:rsidR="001A50F2" w:rsidRDefault="001A50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0F2" w:rsidRDefault="001A50F2" w:rsidP="006C24F1">
      <w:pPr>
        <w:spacing w:after="0" w:line="240" w:lineRule="auto"/>
      </w:pPr>
      <w:r>
        <w:separator/>
      </w:r>
    </w:p>
  </w:footnote>
  <w:footnote w:type="continuationSeparator" w:id="1">
    <w:p w:rsidR="001A50F2" w:rsidRDefault="001A50F2" w:rsidP="006C24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D60382"/>
    <w:multiLevelType w:val="hybridMultilevel"/>
    <w:tmpl w:val="ADC4DB38"/>
    <w:lvl w:ilvl="0" w:tplc="01240CA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4BDA2BB9"/>
    <w:multiLevelType w:val="hybridMultilevel"/>
    <w:tmpl w:val="22BE59DA"/>
    <w:lvl w:ilvl="0" w:tplc="2F3EEA2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A8B"/>
    <w:rsid w:val="00013A8B"/>
    <w:rsid w:val="000270DD"/>
    <w:rsid w:val="00042479"/>
    <w:rsid w:val="00047C5A"/>
    <w:rsid w:val="000B5234"/>
    <w:rsid w:val="00107E02"/>
    <w:rsid w:val="001100E7"/>
    <w:rsid w:val="001176E3"/>
    <w:rsid w:val="00126600"/>
    <w:rsid w:val="00143C65"/>
    <w:rsid w:val="00154AE6"/>
    <w:rsid w:val="001A50F2"/>
    <w:rsid w:val="001A7AAA"/>
    <w:rsid w:val="001B787C"/>
    <w:rsid w:val="00222741"/>
    <w:rsid w:val="00261300"/>
    <w:rsid w:val="00292102"/>
    <w:rsid w:val="002921A8"/>
    <w:rsid w:val="002A000D"/>
    <w:rsid w:val="002C52D2"/>
    <w:rsid w:val="003276F8"/>
    <w:rsid w:val="003337E6"/>
    <w:rsid w:val="00350A95"/>
    <w:rsid w:val="00352181"/>
    <w:rsid w:val="0035558D"/>
    <w:rsid w:val="003556F0"/>
    <w:rsid w:val="0037207C"/>
    <w:rsid w:val="00375B36"/>
    <w:rsid w:val="00376B54"/>
    <w:rsid w:val="003A09B1"/>
    <w:rsid w:val="0042631A"/>
    <w:rsid w:val="0044401C"/>
    <w:rsid w:val="004453A7"/>
    <w:rsid w:val="004622E5"/>
    <w:rsid w:val="00463E59"/>
    <w:rsid w:val="004F3ACF"/>
    <w:rsid w:val="005275ED"/>
    <w:rsid w:val="005647BA"/>
    <w:rsid w:val="00573786"/>
    <w:rsid w:val="00573816"/>
    <w:rsid w:val="005777DF"/>
    <w:rsid w:val="0059061F"/>
    <w:rsid w:val="0059689A"/>
    <w:rsid w:val="005A39A2"/>
    <w:rsid w:val="005A79EF"/>
    <w:rsid w:val="005E3D22"/>
    <w:rsid w:val="006436B2"/>
    <w:rsid w:val="006B608F"/>
    <w:rsid w:val="006C24F1"/>
    <w:rsid w:val="00740971"/>
    <w:rsid w:val="007915A3"/>
    <w:rsid w:val="007E46C7"/>
    <w:rsid w:val="00870C52"/>
    <w:rsid w:val="008A3EB8"/>
    <w:rsid w:val="008C51FA"/>
    <w:rsid w:val="008C7B1E"/>
    <w:rsid w:val="008D0BE8"/>
    <w:rsid w:val="008D1BEB"/>
    <w:rsid w:val="008D67A2"/>
    <w:rsid w:val="008F5A84"/>
    <w:rsid w:val="00900FC7"/>
    <w:rsid w:val="00915DC0"/>
    <w:rsid w:val="0094771B"/>
    <w:rsid w:val="00963DB0"/>
    <w:rsid w:val="00982AB2"/>
    <w:rsid w:val="009A2C78"/>
    <w:rsid w:val="009C7EED"/>
    <w:rsid w:val="009D3FE4"/>
    <w:rsid w:val="00A179FF"/>
    <w:rsid w:val="00A26AA1"/>
    <w:rsid w:val="00A502CD"/>
    <w:rsid w:val="00A54FBF"/>
    <w:rsid w:val="00A87B53"/>
    <w:rsid w:val="00AC53CB"/>
    <w:rsid w:val="00B36EAD"/>
    <w:rsid w:val="00B94701"/>
    <w:rsid w:val="00BA6B7C"/>
    <w:rsid w:val="00BA771A"/>
    <w:rsid w:val="00C01FDE"/>
    <w:rsid w:val="00C05A90"/>
    <w:rsid w:val="00C32FE3"/>
    <w:rsid w:val="00C84FA8"/>
    <w:rsid w:val="00C94E23"/>
    <w:rsid w:val="00CC6F9E"/>
    <w:rsid w:val="00CF7079"/>
    <w:rsid w:val="00D0279A"/>
    <w:rsid w:val="00D145C8"/>
    <w:rsid w:val="00D558BE"/>
    <w:rsid w:val="00D977E2"/>
    <w:rsid w:val="00DA0B41"/>
    <w:rsid w:val="00E32F3E"/>
    <w:rsid w:val="00E8077A"/>
    <w:rsid w:val="00F26D8E"/>
    <w:rsid w:val="00F6136E"/>
    <w:rsid w:val="00FD5DCC"/>
    <w:rsid w:val="00FD7BE5"/>
    <w:rsid w:val="00FE2C2F"/>
    <w:rsid w:val="00FF68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FE4"/>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013A8B"/>
    <w:pPr>
      <w:widowControl w:val="0"/>
      <w:suppressAutoHyphens/>
      <w:autoSpaceDN w:val="0"/>
      <w:textAlignment w:val="baseline"/>
    </w:pPr>
    <w:rPr>
      <w:rFonts w:ascii="Times New Roman" w:eastAsia="SimSun" w:hAnsi="Times New Roman"/>
      <w:kern w:val="3"/>
      <w:sz w:val="24"/>
      <w:szCs w:val="24"/>
      <w:lang w:eastAsia="zh-CN"/>
    </w:rPr>
  </w:style>
  <w:style w:type="paragraph" w:styleId="Header">
    <w:name w:val="header"/>
    <w:basedOn w:val="Normal"/>
    <w:link w:val="HeaderChar"/>
    <w:uiPriority w:val="99"/>
    <w:semiHidden/>
    <w:rsid w:val="006C24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6C24F1"/>
  </w:style>
  <w:style w:type="paragraph" w:styleId="Footer">
    <w:name w:val="footer"/>
    <w:basedOn w:val="Normal"/>
    <w:link w:val="FooterChar"/>
    <w:uiPriority w:val="99"/>
    <w:rsid w:val="006C24F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C24F1"/>
  </w:style>
  <w:style w:type="paragraph" w:styleId="ListParagraph">
    <w:name w:val="List Paragraph"/>
    <w:basedOn w:val="Normal"/>
    <w:uiPriority w:val="99"/>
    <w:qFormat/>
    <w:rsid w:val="00B36EAD"/>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2008</Words>
  <Characters>11446</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Milos</dc:creator>
  <cp:keywords/>
  <dc:description/>
  <cp:lastModifiedBy>Sneza Nikolic</cp:lastModifiedBy>
  <cp:revision>2</cp:revision>
  <dcterms:created xsi:type="dcterms:W3CDTF">2024-09-24T12:47:00Z</dcterms:created>
  <dcterms:modified xsi:type="dcterms:W3CDTF">2024-09-24T12:47:00Z</dcterms:modified>
</cp:coreProperties>
</file>